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B5E2" w14:textId="77777777" w:rsidR="00734A56" w:rsidRDefault="00734A56" w:rsidP="000811DA">
      <w:pPr>
        <w:jc w:val="center"/>
        <w:rPr>
          <w:b/>
          <w:sz w:val="28"/>
        </w:rPr>
      </w:pPr>
    </w:p>
    <w:p w14:paraId="11564A30" w14:textId="77777777" w:rsidR="00AE47E1" w:rsidRPr="00F7432B" w:rsidRDefault="00AE47E1" w:rsidP="00AE47E1">
      <w:pPr>
        <w:pStyle w:val="TableParagraph"/>
        <w:spacing w:line="276" w:lineRule="auto"/>
        <w:ind w:left="5"/>
        <w:rPr>
          <w:rFonts w:ascii="Exo Regular" w:hAnsi="Exo Regular"/>
          <w:b/>
          <w:sz w:val="28"/>
          <w:szCs w:val="28"/>
          <w:lang w:val="fr-FR"/>
        </w:rPr>
      </w:pPr>
      <w:r w:rsidRPr="00F7432B">
        <w:rPr>
          <w:sz w:val="18"/>
          <w:szCs w:val="18"/>
          <w:lang w:val="fr-FR"/>
        </w:rPr>
        <w:t xml:space="preserve">               </w:t>
      </w:r>
    </w:p>
    <w:p w14:paraId="3668D7EC" w14:textId="77777777" w:rsidR="009B68C5" w:rsidRPr="008007C7" w:rsidRDefault="009B68C5" w:rsidP="009B68C5">
      <w:pPr>
        <w:pStyle w:val="TableParagraph"/>
        <w:spacing w:line="276" w:lineRule="auto"/>
        <w:ind w:left="5"/>
        <w:rPr>
          <w:rFonts w:ascii="Exo Regular" w:hAnsi="Exo Regular"/>
          <w:b/>
          <w:sz w:val="28"/>
          <w:szCs w:val="28"/>
          <w:lang w:val="fr-FR"/>
        </w:rPr>
      </w:pPr>
      <w:bookmarkStart w:id="0" w:name="_Hlk508271823"/>
      <w:bookmarkStart w:id="1" w:name="_Hlk508273538"/>
    </w:p>
    <w:p w14:paraId="6F305352" w14:textId="77777777" w:rsidR="00A40192" w:rsidRDefault="00A40192" w:rsidP="00A40192">
      <w:pPr>
        <w:pStyle w:val="En-tte"/>
        <w:tabs>
          <w:tab w:val="clear" w:pos="4536"/>
          <w:tab w:val="clear" w:pos="9072"/>
        </w:tabs>
        <w:spacing w:line="276" w:lineRule="auto"/>
        <w:jc w:val="center"/>
        <w:rPr>
          <w:rFonts w:ascii="Arial" w:hAnsi="Arial" w:cs="Arial"/>
          <w:b/>
        </w:rPr>
      </w:pPr>
      <w:bookmarkStart w:id="2" w:name="_Hlk508275136"/>
      <w:bookmarkStart w:id="3" w:name="_Hlk524078844"/>
      <w:bookmarkEnd w:id="0"/>
      <w:bookmarkEnd w:id="1"/>
    </w:p>
    <w:p w14:paraId="2BF961C8" w14:textId="77777777" w:rsidR="00A40192" w:rsidRDefault="00A40192" w:rsidP="00A40192">
      <w:pPr>
        <w:pStyle w:val="En-tte"/>
        <w:tabs>
          <w:tab w:val="clear" w:pos="4536"/>
          <w:tab w:val="clear" w:pos="9072"/>
        </w:tabs>
        <w:spacing w:line="276" w:lineRule="auto"/>
        <w:jc w:val="center"/>
        <w:rPr>
          <w:rFonts w:ascii="Exo Regular" w:hAnsi="Exo Regular" w:cs="Arial"/>
          <w:b/>
          <w:noProof/>
        </w:rPr>
      </w:pPr>
    </w:p>
    <w:bookmarkEnd w:id="2"/>
    <w:bookmarkEnd w:id="3"/>
    <w:p w14:paraId="19290C33" w14:textId="77777777" w:rsidR="00776864" w:rsidRDefault="00776864" w:rsidP="00776864">
      <w:pPr>
        <w:pStyle w:val="TableParagraph"/>
        <w:spacing w:line="276" w:lineRule="auto"/>
        <w:ind w:left="5"/>
        <w:jc w:val="center"/>
        <w:rPr>
          <w:rFonts w:ascii="Exo Regular" w:hAnsi="Exo Regular"/>
          <w:b/>
          <w:sz w:val="28"/>
          <w:szCs w:val="28"/>
        </w:rPr>
      </w:pPr>
      <w:r>
        <w:rPr>
          <w:rFonts w:ascii="Arial" w:hAnsi="Arial" w:cs="Arial"/>
          <w:noProof/>
          <w:lang w:val="fr-FR" w:eastAsia="fr-FR"/>
        </w:rPr>
        <w:pict w14:anchorId="1F266803">
          <v:shape id="_x0000_i1025" type="#_x0000_t75" style="width:115.8pt;height:115.8pt">
            <v:imagedata r:id="rId8" o:title="Logo%20ICM-FR_jpg"/>
          </v:shape>
        </w:pict>
      </w:r>
    </w:p>
    <w:p w14:paraId="56C5D27F" w14:textId="77777777" w:rsidR="00776864" w:rsidRDefault="00776864" w:rsidP="00776864">
      <w:pPr>
        <w:pStyle w:val="TableParagraph"/>
        <w:spacing w:line="276" w:lineRule="auto"/>
        <w:ind w:left="5"/>
        <w:jc w:val="center"/>
        <w:rPr>
          <w:rFonts w:ascii="Exo Regular" w:hAnsi="Exo Regular"/>
          <w:b/>
          <w:sz w:val="28"/>
          <w:szCs w:val="28"/>
        </w:rPr>
      </w:pPr>
      <w:r>
        <w:rPr>
          <w:rFonts w:ascii="Exo Regular" w:hAnsi="Exo Regular"/>
          <w:b/>
          <w:sz w:val="28"/>
          <w:szCs w:val="28"/>
        </w:rPr>
        <w:t xml:space="preserve">INSTITUT DU CERVEAU ET DE LA MOELLE EPINIERE </w:t>
      </w:r>
    </w:p>
    <w:p w14:paraId="7E294765" w14:textId="77777777" w:rsidR="00776864" w:rsidRDefault="00776864" w:rsidP="00776864">
      <w:pPr>
        <w:pStyle w:val="TableParagraph"/>
        <w:spacing w:line="276" w:lineRule="auto"/>
        <w:ind w:left="5"/>
        <w:jc w:val="center"/>
        <w:rPr>
          <w:rFonts w:ascii="Exo Regular" w:hAnsi="Exo Regular"/>
          <w:b/>
          <w:sz w:val="28"/>
          <w:szCs w:val="28"/>
        </w:rPr>
      </w:pPr>
    </w:p>
    <w:p w14:paraId="10A4F829" w14:textId="77777777" w:rsidR="00776864" w:rsidRDefault="00776864" w:rsidP="00776864">
      <w:pPr>
        <w:pStyle w:val="TableParagraph"/>
        <w:spacing w:line="276" w:lineRule="auto"/>
        <w:ind w:left="5"/>
        <w:jc w:val="center"/>
        <w:rPr>
          <w:rFonts w:ascii="Exo Regular" w:hAnsi="Exo Regular"/>
          <w:b/>
          <w:sz w:val="28"/>
          <w:szCs w:val="28"/>
        </w:rPr>
      </w:pPr>
      <w:r>
        <w:rPr>
          <w:rFonts w:ascii="Exo Regular" w:hAnsi="Exo Regular"/>
          <w:b/>
          <w:sz w:val="28"/>
          <w:szCs w:val="28"/>
        </w:rPr>
        <w:t>ICM</w:t>
      </w:r>
    </w:p>
    <w:p w14:paraId="23D10A26" w14:textId="77777777" w:rsidR="00776864" w:rsidRDefault="00776864" w:rsidP="00776864">
      <w:pPr>
        <w:pStyle w:val="TableParagraph"/>
        <w:spacing w:line="276" w:lineRule="auto"/>
        <w:ind w:left="5"/>
        <w:jc w:val="center"/>
        <w:rPr>
          <w:rFonts w:ascii="Exo Regular" w:hAnsi="Exo Regular"/>
          <w:b/>
          <w:sz w:val="28"/>
          <w:szCs w:val="28"/>
        </w:rPr>
      </w:pPr>
      <w:proofErr w:type="spellStart"/>
      <w:r>
        <w:rPr>
          <w:rFonts w:ascii="Exo Regular" w:hAnsi="Exo Regular"/>
          <w:b/>
          <w:sz w:val="28"/>
          <w:szCs w:val="28"/>
        </w:rPr>
        <w:t>Hôpital</w:t>
      </w:r>
      <w:proofErr w:type="spellEnd"/>
      <w:r>
        <w:rPr>
          <w:rFonts w:ascii="Exo Regular" w:hAnsi="Exo Regular"/>
          <w:b/>
          <w:sz w:val="28"/>
          <w:szCs w:val="28"/>
        </w:rPr>
        <w:t xml:space="preserve"> </w:t>
      </w:r>
      <w:proofErr w:type="spellStart"/>
      <w:r>
        <w:rPr>
          <w:rFonts w:ascii="Exo Regular" w:hAnsi="Exo Regular"/>
          <w:b/>
          <w:sz w:val="28"/>
          <w:szCs w:val="28"/>
        </w:rPr>
        <w:t>Pitié-Salpêtrière</w:t>
      </w:r>
      <w:proofErr w:type="spellEnd"/>
      <w:r>
        <w:rPr>
          <w:rFonts w:ascii="Exo Regular" w:hAnsi="Exo Regular"/>
          <w:b/>
          <w:sz w:val="28"/>
          <w:szCs w:val="28"/>
        </w:rPr>
        <w:t xml:space="preserve"> </w:t>
      </w:r>
    </w:p>
    <w:p w14:paraId="257F11B3" w14:textId="77777777" w:rsidR="00776864" w:rsidRDefault="00776864" w:rsidP="00776864">
      <w:pPr>
        <w:pStyle w:val="TableParagraph"/>
        <w:spacing w:line="276" w:lineRule="auto"/>
        <w:ind w:left="5"/>
        <w:jc w:val="center"/>
        <w:rPr>
          <w:rFonts w:ascii="Exo Regular" w:hAnsi="Exo Regular"/>
          <w:b/>
          <w:sz w:val="28"/>
          <w:szCs w:val="28"/>
        </w:rPr>
      </w:pPr>
      <w:r>
        <w:rPr>
          <w:rFonts w:ascii="Exo Regular" w:hAnsi="Exo Regular"/>
          <w:b/>
          <w:sz w:val="28"/>
          <w:szCs w:val="28"/>
        </w:rPr>
        <w:t xml:space="preserve">47, boulevard de </w:t>
      </w:r>
      <w:proofErr w:type="spellStart"/>
      <w:r>
        <w:rPr>
          <w:rFonts w:ascii="Exo Regular" w:hAnsi="Exo Regular"/>
          <w:b/>
          <w:sz w:val="28"/>
          <w:szCs w:val="28"/>
        </w:rPr>
        <w:t>l’Hôpital</w:t>
      </w:r>
      <w:proofErr w:type="spellEnd"/>
      <w:r>
        <w:rPr>
          <w:rFonts w:ascii="Exo Regular" w:hAnsi="Exo Regular"/>
          <w:b/>
          <w:sz w:val="28"/>
          <w:szCs w:val="28"/>
        </w:rPr>
        <w:t xml:space="preserve"> </w:t>
      </w:r>
    </w:p>
    <w:p w14:paraId="16D6B4DB" w14:textId="77777777" w:rsidR="00776864" w:rsidRDefault="00776864" w:rsidP="00776864">
      <w:pPr>
        <w:pStyle w:val="TableParagraph"/>
        <w:spacing w:line="276" w:lineRule="auto"/>
        <w:ind w:left="5"/>
        <w:jc w:val="center"/>
        <w:rPr>
          <w:rFonts w:ascii="Exo Regular" w:hAnsi="Exo Regular"/>
          <w:b/>
          <w:sz w:val="28"/>
          <w:szCs w:val="28"/>
        </w:rPr>
      </w:pPr>
      <w:r>
        <w:rPr>
          <w:rFonts w:ascii="Exo Regular" w:hAnsi="Exo Regular"/>
          <w:b/>
          <w:sz w:val="28"/>
          <w:szCs w:val="28"/>
        </w:rPr>
        <w:t xml:space="preserve">75013 PARIS </w:t>
      </w:r>
    </w:p>
    <w:p w14:paraId="45E4EB35" w14:textId="77777777" w:rsidR="00776864" w:rsidRPr="008904AB" w:rsidRDefault="00776864" w:rsidP="00776864">
      <w:pPr>
        <w:pStyle w:val="En-tte"/>
        <w:tabs>
          <w:tab w:val="clear" w:pos="4536"/>
          <w:tab w:val="clear" w:pos="9072"/>
        </w:tabs>
        <w:spacing w:line="276" w:lineRule="auto"/>
        <w:jc w:val="center"/>
        <w:rPr>
          <w:rFonts w:ascii="Exo Regular" w:hAnsi="Exo Regular"/>
        </w:rPr>
      </w:pPr>
    </w:p>
    <w:p w14:paraId="7A202C30" w14:textId="77777777" w:rsidR="00776864" w:rsidRDefault="00776864" w:rsidP="00776864">
      <w:pPr>
        <w:pBdr>
          <w:top w:val="single" w:sz="4" w:space="1" w:color="auto"/>
          <w:left w:val="single" w:sz="4" w:space="4" w:color="auto"/>
          <w:bottom w:val="single" w:sz="4" w:space="1" w:color="auto"/>
          <w:right w:val="single" w:sz="4" w:space="4" w:color="auto"/>
        </w:pBdr>
        <w:jc w:val="center"/>
        <w:rPr>
          <w:b/>
        </w:rPr>
      </w:pPr>
      <w:r w:rsidRPr="00E263F2">
        <w:rPr>
          <w:b/>
        </w:rPr>
        <w:t xml:space="preserve">MARCHE </w:t>
      </w:r>
      <w:r>
        <w:rPr>
          <w:b/>
        </w:rPr>
        <w:t xml:space="preserve">D’ASSURANCES </w:t>
      </w:r>
    </w:p>
    <w:p w14:paraId="3F4C28C5" w14:textId="77777777" w:rsidR="00776864" w:rsidRDefault="00776864" w:rsidP="00776864">
      <w:pPr>
        <w:pBdr>
          <w:top w:val="single" w:sz="4" w:space="1" w:color="auto"/>
          <w:left w:val="single" w:sz="4" w:space="4" w:color="auto"/>
          <w:bottom w:val="single" w:sz="4" w:space="1" w:color="auto"/>
          <w:right w:val="single" w:sz="4" w:space="4" w:color="auto"/>
        </w:pBdr>
        <w:jc w:val="center"/>
        <w:rPr>
          <w:b/>
        </w:rPr>
      </w:pPr>
    </w:p>
    <w:p w14:paraId="67C4E6CE" w14:textId="77777777" w:rsidR="00776864" w:rsidRDefault="00776864" w:rsidP="00776864">
      <w:pPr>
        <w:pBdr>
          <w:top w:val="single" w:sz="4" w:space="1" w:color="auto"/>
          <w:left w:val="single" w:sz="4" w:space="4" w:color="auto"/>
          <w:bottom w:val="single" w:sz="4" w:space="1" w:color="auto"/>
          <w:right w:val="single" w:sz="4" w:space="4" w:color="auto"/>
        </w:pBdr>
        <w:spacing w:line="360" w:lineRule="auto"/>
        <w:jc w:val="center"/>
        <w:rPr>
          <w:b/>
        </w:rPr>
      </w:pPr>
      <w:bookmarkStart w:id="4" w:name="_Hlk530310362"/>
      <w:r>
        <w:rPr>
          <w:b/>
        </w:rPr>
        <w:t xml:space="preserve">LOT 1 </w:t>
      </w:r>
      <w:r w:rsidR="00317CFF">
        <w:rPr>
          <w:b/>
        </w:rPr>
        <w:t>RESPONSABILITE CIVILE GENERALE ET PROFESSIONNELLE</w:t>
      </w:r>
      <w:r>
        <w:rPr>
          <w:b/>
        </w:rPr>
        <w:t xml:space="preserve">  </w:t>
      </w:r>
    </w:p>
    <w:p w14:paraId="07D7537E" w14:textId="77777777" w:rsidR="00776864" w:rsidRDefault="00776864" w:rsidP="00776864">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LOT 2 </w:t>
      </w:r>
      <w:r w:rsidR="00317CFF">
        <w:rPr>
          <w:b/>
        </w:rPr>
        <w:t>DOMMAGES AUX BIENS ET RISQUES DIVERS</w:t>
      </w:r>
    </w:p>
    <w:bookmarkEnd w:id="4"/>
    <w:p w14:paraId="6AAAB667" w14:textId="77777777" w:rsidR="00776864" w:rsidRPr="00E263F2" w:rsidRDefault="00776864" w:rsidP="00776864">
      <w:pPr>
        <w:pBdr>
          <w:top w:val="single" w:sz="4" w:space="1" w:color="auto"/>
          <w:left w:val="single" w:sz="4" w:space="4" w:color="auto"/>
          <w:bottom w:val="single" w:sz="4" w:space="1" w:color="auto"/>
          <w:right w:val="single" w:sz="4" w:space="4" w:color="auto"/>
        </w:pBdr>
        <w:rPr>
          <w:b/>
        </w:rPr>
      </w:pPr>
    </w:p>
    <w:p w14:paraId="32247F03" w14:textId="77777777" w:rsidR="00A40192" w:rsidRDefault="00A40192" w:rsidP="00EE542A">
      <w:pPr>
        <w:jc w:val="center"/>
        <w:rPr>
          <w:b/>
          <w:color w:val="800080"/>
          <w:sz w:val="44"/>
          <w:szCs w:val="44"/>
        </w:rPr>
      </w:pPr>
    </w:p>
    <w:p w14:paraId="3D2957A7" w14:textId="77777777" w:rsidR="00317CFF" w:rsidRDefault="00317CFF" w:rsidP="00EE542A">
      <w:pPr>
        <w:jc w:val="center"/>
        <w:rPr>
          <w:b/>
          <w:color w:val="800080"/>
          <w:sz w:val="44"/>
          <w:szCs w:val="44"/>
        </w:rPr>
      </w:pPr>
    </w:p>
    <w:p w14:paraId="76147908" w14:textId="77777777" w:rsidR="00317CFF" w:rsidRDefault="00317CFF" w:rsidP="00EE542A">
      <w:pPr>
        <w:jc w:val="center"/>
        <w:rPr>
          <w:b/>
          <w:color w:val="800080"/>
          <w:sz w:val="44"/>
          <w:szCs w:val="44"/>
        </w:rPr>
      </w:pPr>
    </w:p>
    <w:p w14:paraId="0A74202B" w14:textId="77777777" w:rsidR="0055170F" w:rsidRPr="008F19C7" w:rsidRDefault="00A554C3" w:rsidP="00EE542A">
      <w:pPr>
        <w:jc w:val="center"/>
        <w:rPr>
          <w:b/>
          <w:color w:val="FF0000"/>
          <w:sz w:val="44"/>
          <w:szCs w:val="44"/>
        </w:rPr>
      </w:pPr>
      <w:r w:rsidRPr="005C42E8">
        <w:rPr>
          <w:b/>
          <w:color w:val="800080"/>
          <w:sz w:val="44"/>
          <w:szCs w:val="44"/>
        </w:rPr>
        <w:t xml:space="preserve">CAHIER DES CLAUSES ADMINISTRATIVES </w:t>
      </w:r>
      <w:r w:rsidRPr="009B68C5">
        <w:rPr>
          <w:b/>
          <w:color w:val="800080"/>
          <w:sz w:val="44"/>
          <w:szCs w:val="44"/>
        </w:rPr>
        <w:t>PARTICULIERES</w:t>
      </w:r>
      <w:r w:rsidR="008F19C7" w:rsidRPr="009B68C5">
        <w:rPr>
          <w:b/>
          <w:color w:val="800080"/>
          <w:sz w:val="44"/>
          <w:szCs w:val="44"/>
        </w:rPr>
        <w:t xml:space="preserve"> </w:t>
      </w:r>
    </w:p>
    <w:p w14:paraId="2402D9A1" w14:textId="77777777" w:rsidR="00E56DB8" w:rsidRPr="008F19C7" w:rsidRDefault="00E56DB8" w:rsidP="005C42E8">
      <w:pPr>
        <w:rPr>
          <w:b/>
          <w:color w:val="FF0000"/>
          <w:szCs w:val="22"/>
        </w:rPr>
      </w:pPr>
      <w:r w:rsidRPr="008F19C7">
        <w:rPr>
          <w:b/>
          <w:color w:val="FF0000"/>
          <w:szCs w:val="22"/>
        </w:rPr>
        <w:br w:type="page"/>
      </w:r>
    </w:p>
    <w:p w14:paraId="1C63BE52" w14:textId="77777777" w:rsidR="00F956CC" w:rsidRPr="00992170" w:rsidRDefault="00EE542A" w:rsidP="00EE542A">
      <w:pPr>
        <w:jc w:val="center"/>
        <w:rPr>
          <w:rFonts w:cs="Arial"/>
          <w:b/>
          <w:sz w:val="28"/>
          <w:szCs w:val="28"/>
        </w:rPr>
      </w:pPr>
      <w:r w:rsidRPr="00992170">
        <w:rPr>
          <w:rFonts w:cs="Arial"/>
          <w:b/>
          <w:sz w:val="28"/>
          <w:szCs w:val="28"/>
        </w:rPr>
        <w:t>S</w:t>
      </w:r>
      <w:r w:rsidR="00F956CC" w:rsidRPr="00992170">
        <w:rPr>
          <w:rFonts w:cs="Arial"/>
          <w:b/>
          <w:sz w:val="28"/>
          <w:szCs w:val="28"/>
        </w:rPr>
        <w:t>OMMAIRE</w:t>
      </w:r>
    </w:p>
    <w:p w14:paraId="3989188C" w14:textId="77777777" w:rsidR="00F956CC" w:rsidRPr="00992170" w:rsidRDefault="00F956CC" w:rsidP="00F956CC">
      <w:pPr>
        <w:pStyle w:val="TM1"/>
      </w:pPr>
    </w:p>
    <w:p w14:paraId="5B7F74A5" w14:textId="77777777" w:rsidR="007F5F99" w:rsidRPr="00940185" w:rsidRDefault="00165CEC">
      <w:pPr>
        <w:pStyle w:val="TM1"/>
        <w:rPr>
          <w:rFonts w:ascii="Calibri" w:hAnsi="Calibri"/>
          <w:b w:val="0"/>
          <w:bCs w:val="0"/>
          <w:iCs w:val="0"/>
          <w:caps w:val="0"/>
          <w:noProof/>
          <w:color w:val="auto"/>
          <w:szCs w:val="22"/>
        </w:rPr>
      </w:pPr>
      <w:r w:rsidRPr="00165CEC">
        <w:rPr>
          <w:rFonts w:cs="Arial"/>
          <w:caps w:val="0"/>
          <w:smallCaps/>
          <w:szCs w:val="22"/>
        </w:rPr>
        <w:fldChar w:fldCharType="begin"/>
      </w:r>
      <w:r w:rsidR="00F956CC" w:rsidRPr="00992170">
        <w:rPr>
          <w:rFonts w:cs="Arial"/>
          <w:caps w:val="0"/>
          <w:smallCaps/>
          <w:szCs w:val="22"/>
        </w:rPr>
        <w:instrText xml:space="preserve"> TOC \o "1-3" \h \z \u </w:instrText>
      </w:r>
      <w:r w:rsidRPr="00165CEC">
        <w:rPr>
          <w:rFonts w:cs="Arial"/>
          <w:caps w:val="0"/>
          <w:smallCaps/>
          <w:szCs w:val="22"/>
        </w:rPr>
        <w:fldChar w:fldCharType="separate"/>
      </w:r>
      <w:hyperlink w:anchor="_Toc25054611" w:history="1">
        <w:r w:rsidR="007F5F99" w:rsidRPr="0042654E">
          <w:rPr>
            <w:rStyle w:val="Lienhypertexte"/>
            <w:noProof/>
          </w:rPr>
          <w:t>Article premier :  Objet de la consultation - Dispositions générales</w:t>
        </w:r>
        <w:r w:rsidR="007F5F99">
          <w:rPr>
            <w:noProof/>
            <w:webHidden/>
          </w:rPr>
          <w:tab/>
        </w:r>
        <w:r w:rsidR="007F5F99">
          <w:rPr>
            <w:noProof/>
            <w:webHidden/>
          </w:rPr>
          <w:fldChar w:fldCharType="begin"/>
        </w:r>
        <w:r w:rsidR="007F5F99">
          <w:rPr>
            <w:noProof/>
            <w:webHidden/>
          </w:rPr>
          <w:instrText xml:space="preserve"> PAGEREF _Toc25054611 \h </w:instrText>
        </w:r>
        <w:r w:rsidR="007F5F99">
          <w:rPr>
            <w:noProof/>
            <w:webHidden/>
          </w:rPr>
        </w:r>
        <w:r w:rsidR="007F5F99">
          <w:rPr>
            <w:noProof/>
            <w:webHidden/>
          </w:rPr>
          <w:fldChar w:fldCharType="separate"/>
        </w:r>
        <w:r w:rsidR="007F5F99">
          <w:rPr>
            <w:noProof/>
            <w:webHidden/>
          </w:rPr>
          <w:t>3</w:t>
        </w:r>
        <w:r w:rsidR="007F5F99">
          <w:rPr>
            <w:noProof/>
            <w:webHidden/>
          </w:rPr>
          <w:fldChar w:fldCharType="end"/>
        </w:r>
      </w:hyperlink>
    </w:p>
    <w:p w14:paraId="43AACA36" w14:textId="77777777" w:rsidR="007F5F99" w:rsidRPr="00940185" w:rsidRDefault="007F5F99">
      <w:pPr>
        <w:pStyle w:val="TM2"/>
        <w:tabs>
          <w:tab w:val="right" w:leader="underscore" w:pos="9346"/>
        </w:tabs>
        <w:rPr>
          <w:rFonts w:ascii="Calibri" w:hAnsi="Calibri"/>
          <w:b w:val="0"/>
          <w:bCs w:val="0"/>
          <w:noProof/>
        </w:rPr>
      </w:pPr>
      <w:hyperlink w:anchor="_Toc25054612" w:history="1">
        <w:r w:rsidRPr="0042654E">
          <w:rPr>
            <w:rStyle w:val="Lienhypertexte"/>
            <w:rFonts w:cs="Arial"/>
            <w:i/>
            <w:noProof/>
          </w:rPr>
          <w:t>1.1 – Objet du marché</w:t>
        </w:r>
        <w:r>
          <w:rPr>
            <w:noProof/>
            <w:webHidden/>
          </w:rPr>
          <w:tab/>
        </w:r>
        <w:r>
          <w:rPr>
            <w:noProof/>
            <w:webHidden/>
          </w:rPr>
          <w:fldChar w:fldCharType="begin"/>
        </w:r>
        <w:r>
          <w:rPr>
            <w:noProof/>
            <w:webHidden/>
          </w:rPr>
          <w:instrText xml:space="preserve"> PAGEREF _Toc25054612 \h </w:instrText>
        </w:r>
        <w:r>
          <w:rPr>
            <w:noProof/>
            <w:webHidden/>
          </w:rPr>
        </w:r>
        <w:r>
          <w:rPr>
            <w:noProof/>
            <w:webHidden/>
          </w:rPr>
          <w:fldChar w:fldCharType="separate"/>
        </w:r>
        <w:r>
          <w:rPr>
            <w:noProof/>
            <w:webHidden/>
          </w:rPr>
          <w:t>3</w:t>
        </w:r>
        <w:r>
          <w:rPr>
            <w:noProof/>
            <w:webHidden/>
          </w:rPr>
          <w:fldChar w:fldCharType="end"/>
        </w:r>
      </w:hyperlink>
    </w:p>
    <w:p w14:paraId="0A1C6584" w14:textId="77777777" w:rsidR="007F5F99" w:rsidRPr="00940185" w:rsidRDefault="007F5F99">
      <w:pPr>
        <w:pStyle w:val="TM2"/>
        <w:tabs>
          <w:tab w:val="right" w:leader="underscore" w:pos="9346"/>
        </w:tabs>
        <w:rPr>
          <w:rFonts w:ascii="Calibri" w:hAnsi="Calibri"/>
          <w:b w:val="0"/>
          <w:bCs w:val="0"/>
          <w:noProof/>
        </w:rPr>
      </w:pPr>
      <w:hyperlink w:anchor="_Toc25054613" w:history="1">
        <w:r w:rsidRPr="0042654E">
          <w:rPr>
            <w:rStyle w:val="Lienhypertexte"/>
            <w:rFonts w:cs="Arial"/>
            <w:i/>
            <w:noProof/>
          </w:rPr>
          <w:t>1.2 – Décomposition en lots</w:t>
        </w:r>
        <w:r>
          <w:rPr>
            <w:noProof/>
            <w:webHidden/>
          </w:rPr>
          <w:tab/>
        </w:r>
        <w:r>
          <w:rPr>
            <w:noProof/>
            <w:webHidden/>
          </w:rPr>
          <w:fldChar w:fldCharType="begin"/>
        </w:r>
        <w:r>
          <w:rPr>
            <w:noProof/>
            <w:webHidden/>
          </w:rPr>
          <w:instrText xml:space="preserve"> PAGEREF _Toc25054613 \h </w:instrText>
        </w:r>
        <w:r>
          <w:rPr>
            <w:noProof/>
            <w:webHidden/>
          </w:rPr>
        </w:r>
        <w:r>
          <w:rPr>
            <w:noProof/>
            <w:webHidden/>
          </w:rPr>
          <w:fldChar w:fldCharType="separate"/>
        </w:r>
        <w:r>
          <w:rPr>
            <w:noProof/>
            <w:webHidden/>
          </w:rPr>
          <w:t>3</w:t>
        </w:r>
        <w:r>
          <w:rPr>
            <w:noProof/>
            <w:webHidden/>
          </w:rPr>
          <w:fldChar w:fldCharType="end"/>
        </w:r>
      </w:hyperlink>
    </w:p>
    <w:p w14:paraId="7E6F4201" w14:textId="77777777" w:rsidR="007F5F99" w:rsidRPr="00940185" w:rsidRDefault="007F5F99">
      <w:pPr>
        <w:pStyle w:val="TM2"/>
        <w:tabs>
          <w:tab w:val="right" w:leader="underscore" w:pos="9346"/>
        </w:tabs>
        <w:rPr>
          <w:rFonts w:ascii="Calibri" w:hAnsi="Calibri"/>
          <w:b w:val="0"/>
          <w:bCs w:val="0"/>
          <w:noProof/>
        </w:rPr>
      </w:pPr>
      <w:hyperlink w:anchor="_Toc25054614" w:history="1">
        <w:r w:rsidRPr="0042654E">
          <w:rPr>
            <w:rStyle w:val="Lienhypertexte"/>
            <w:rFonts w:cs="Arial"/>
            <w:i/>
            <w:noProof/>
          </w:rPr>
          <w:t>1.3 – Durée du marché</w:t>
        </w:r>
        <w:r>
          <w:rPr>
            <w:noProof/>
            <w:webHidden/>
          </w:rPr>
          <w:tab/>
        </w:r>
        <w:r>
          <w:rPr>
            <w:noProof/>
            <w:webHidden/>
          </w:rPr>
          <w:fldChar w:fldCharType="begin"/>
        </w:r>
        <w:r>
          <w:rPr>
            <w:noProof/>
            <w:webHidden/>
          </w:rPr>
          <w:instrText xml:space="preserve"> PAGEREF _Toc25054614 \h </w:instrText>
        </w:r>
        <w:r>
          <w:rPr>
            <w:noProof/>
            <w:webHidden/>
          </w:rPr>
        </w:r>
        <w:r>
          <w:rPr>
            <w:noProof/>
            <w:webHidden/>
          </w:rPr>
          <w:fldChar w:fldCharType="separate"/>
        </w:r>
        <w:r>
          <w:rPr>
            <w:noProof/>
            <w:webHidden/>
          </w:rPr>
          <w:t>3</w:t>
        </w:r>
        <w:r>
          <w:rPr>
            <w:noProof/>
            <w:webHidden/>
          </w:rPr>
          <w:fldChar w:fldCharType="end"/>
        </w:r>
      </w:hyperlink>
    </w:p>
    <w:p w14:paraId="0D442464" w14:textId="77777777" w:rsidR="007F5F99" w:rsidRPr="00940185" w:rsidRDefault="007F5F99">
      <w:pPr>
        <w:pStyle w:val="TM1"/>
        <w:rPr>
          <w:rFonts w:ascii="Calibri" w:hAnsi="Calibri"/>
          <w:b w:val="0"/>
          <w:bCs w:val="0"/>
          <w:iCs w:val="0"/>
          <w:caps w:val="0"/>
          <w:noProof/>
          <w:color w:val="auto"/>
          <w:szCs w:val="22"/>
        </w:rPr>
      </w:pPr>
      <w:hyperlink w:anchor="_Toc25054615" w:history="1">
        <w:r w:rsidRPr="0042654E">
          <w:rPr>
            <w:rStyle w:val="Lienhypertexte"/>
            <w:noProof/>
          </w:rPr>
          <w:t>Article 2 : Pièces constitutives du marché</w:t>
        </w:r>
        <w:r>
          <w:rPr>
            <w:noProof/>
            <w:webHidden/>
          </w:rPr>
          <w:tab/>
        </w:r>
        <w:r>
          <w:rPr>
            <w:noProof/>
            <w:webHidden/>
          </w:rPr>
          <w:fldChar w:fldCharType="begin"/>
        </w:r>
        <w:r>
          <w:rPr>
            <w:noProof/>
            <w:webHidden/>
          </w:rPr>
          <w:instrText xml:space="preserve"> PAGEREF _Toc25054615 \h </w:instrText>
        </w:r>
        <w:r>
          <w:rPr>
            <w:noProof/>
            <w:webHidden/>
          </w:rPr>
        </w:r>
        <w:r>
          <w:rPr>
            <w:noProof/>
            <w:webHidden/>
          </w:rPr>
          <w:fldChar w:fldCharType="separate"/>
        </w:r>
        <w:r>
          <w:rPr>
            <w:noProof/>
            <w:webHidden/>
          </w:rPr>
          <w:t>3</w:t>
        </w:r>
        <w:r>
          <w:rPr>
            <w:noProof/>
            <w:webHidden/>
          </w:rPr>
          <w:fldChar w:fldCharType="end"/>
        </w:r>
      </w:hyperlink>
    </w:p>
    <w:p w14:paraId="0A34C5E8" w14:textId="77777777" w:rsidR="007F5F99" w:rsidRPr="00940185" w:rsidRDefault="007F5F99">
      <w:pPr>
        <w:pStyle w:val="TM1"/>
        <w:rPr>
          <w:rFonts w:ascii="Calibri" w:hAnsi="Calibri"/>
          <w:b w:val="0"/>
          <w:bCs w:val="0"/>
          <w:iCs w:val="0"/>
          <w:caps w:val="0"/>
          <w:noProof/>
          <w:color w:val="auto"/>
          <w:szCs w:val="22"/>
        </w:rPr>
      </w:pPr>
      <w:hyperlink w:anchor="_Toc25054616" w:history="1">
        <w:r w:rsidRPr="0042654E">
          <w:rPr>
            <w:rStyle w:val="Lienhypertexte"/>
            <w:noProof/>
          </w:rPr>
          <w:t>Article 3 : Délais d’exécution</w:t>
        </w:r>
        <w:r>
          <w:rPr>
            <w:noProof/>
            <w:webHidden/>
          </w:rPr>
          <w:tab/>
        </w:r>
        <w:r>
          <w:rPr>
            <w:noProof/>
            <w:webHidden/>
          </w:rPr>
          <w:fldChar w:fldCharType="begin"/>
        </w:r>
        <w:r>
          <w:rPr>
            <w:noProof/>
            <w:webHidden/>
          </w:rPr>
          <w:instrText xml:space="preserve"> PAGEREF _Toc25054616 \h </w:instrText>
        </w:r>
        <w:r>
          <w:rPr>
            <w:noProof/>
            <w:webHidden/>
          </w:rPr>
        </w:r>
        <w:r>
          <w:rPr>
            <w:noProof/>
            <w:webHidden/>
          </w:rPr>
          <w:fldChar w:fldCharType="separate"/>
        </w:r>
        <w:r>
          <w:rPr>
            <w:noProof/>
            <w:webHidden/>
          </w:rPr>
          <w:t>3</w:t>
        </w:r>
        <w:r>
          <w:rPr>
            <w:noProof/>
            <w:webHidden/>
          </w:rPr>
          <w:fldChar w:fldCharType="end"/>
        </w:r>
      </w:hyperlink>
    </w:p>
    <w:p w14:paraId="259903E3" w14:textId="77777777" w:rsidR="007F5F99" w:rsidRPr="00940185" w:rsidRDefault="007F5F99">
      <w:pPr>
        <w:pStyle w:val="TM2"/>
        <w:tabs>
          <w:tab w:val="right" w:leader="underscore" w:pos="9346"/>
        </w:tabs>
        <w:rPr>
          <w:rFonts w:ascii="Calibri" w:hAnsi="Calibri"/>
          <w:b w:val="0"/>
          <w:bCs w:val="0"/>
          <w:noProof/>
        </w:rPr>
      </w:pPr>
      <w:hyperlink w:anchor="_Toc25054617" w:history="1">
        <w:r w:rsidRPr="0042654E">
          <w:rPr>
            <w:rStyle w:val="Lienhypertexte"/>
            <w:rFonts w:cs="Arial"/>
            <w:i/>
            <w:noProof/>
          </w:rPr>
          <w:t>3.1 – Délais de base</w:t>
        </w:r>
        <w:r>
          <w:rPr>
            <w:noProof/>
            <w:webHidden/>
          </w:rPr>
          <w:tab/>
        </w:r>
        <w:r>
          <w:rPr>
            <w:noProof/>
            <w:webHidden/>
          </w:rPr>
          <w:fldChar w:fldCharType="begin"/>
        </w:r>
        <w:r>
          <w:rPr>
            <w:noProof/>
            <w:webHidden/>
          </w:rPr>
          <w:instrText xml:space="preserve"> PAGEREF _Toc25054617 \h </w:instrText>
        </w:r>
        <w:r>
          <w:rPr>
            <w:noProof/>
            <w:webHidden/>
          </w:rPr>
        </w:r>
        <w:r>
          <w:rPr>
            <w:noProof/>
            <w:webHidden/>
          </w:rPr>
          <w:fldChar w:fldCharType="separate"/>
        </w:r>
        <w:r>
          <w:rPr>
            <w:noProof/>
            <w:webHidden/>
          </w:rPr>
          <w:t>4</w:t>
        </w:r>
        <w:r>
          <w:rPr>
            <w:noProof/>
            <w:webHidden/>
          </w:rPr>
          <w:fldChar w:fldCharType="end"/>
        </w:r>
      </w:hyperlink>
    </w:p>
    <w:p w14:paraId="7A36F48D" w14:textId="77777777" w:rsidR="007F5F99" w:rsidRPr="00940185" w:rsidRDefault="007F5F99">
      <w:pPr>
        <w:pStyle w:val="TM1"/>
        <w:rPr>
          <w:rFonts w:ascii="Calibri" w:hAnsi="Calibri"/>
          <w:b w:val="0"/>
          <w:bCs w:val="0"/>
          <w:iCs w:val="0"/>
          <w:caps w:val="0"/>
          <w:noProof/>
          <w:color w:val="auto"/>
          <w:szCs w:val="22"/>
        </w:rPr>
      </w:pPr>
      <w:hyperlink w:anchor="_Toc25054618" w:history="1">
        <w:r w:rsidRPr="0042654E">
          <w:rPr>
            <w:rStyle w:val="Lienhypertexte"/>
            <w:noProof/>
          </w:rPr>
          <w:t>Article 4 : Obligations de confidentialité</w:t>
        </w:r>
        <w:r>
          <w:rPr>
            <w:noProof/>
            <w:webHidden/>
          </w:rPr>
          <w:tab/>
        </w:r>
        <w:r>
          <w:rPr>
            <w:noProof/>
            <w:webHidden/>
          </w:rPr>
          <w:fldChar w:fldCharType="begin"/>
        </w:r>
        <w:r>
          <w:rPr>
            <w:noProof/>
            <w:webHidden/>
          </w:rPr>
          <w:instrText xml:space="preserve"> PAGEREF _Toc25054618 \h </w:instrText>
        </w:r>
        <w:r>
          <w:rPr>
            <w:noProof/>
            <w:webHidden/>
          </w:rPr>
        </w:r>
        <w:r>
          <w:rPr>
            <w:noProof/>
            <w:webHidden/>
          </w:rPr>
          <w:fldChar w:fldCharType="separate"/>
        </w:r>
        <w:r>
          <w:rPr>
            <w:noProof/>
            <w:webHidden/>
          </w:rPr>
          <w:t>4</w:t>
        </w:r>
        <w:r>
          <w:rPr>
            <w:noProof/>
            <w:webHidden/>
          </w:rPr>
          <w:fldChar w:fldCharType="end"/>
        </w:r>
      </w:hyperlink>
    </w:p>
    <w:p w14:paraId="2950C44E" w14:textId="77777777" w:rsidR="007F5F99" w:rsidRPr="00940185" w:rsidRDefault="007F5F99">
      <w:pPr>
        <w:pStyle w:val="TM1"/>
        <w:rPr>
          <w:rFonts w:ascii="Calibri" w:hAnsi="Calibri"/>
          <w:b w:val="0"/>
          <w:bCs w:val="0"/>
          <w:iCs w:val="0"/>
          <w:caps w:val="0"/>
          <w:noProof/>
          <w:color w:val="auto"/>
          <w:szCs w:val="22"/>
        </w:rPr>
      </w:pPr>
      <w:hyperlink w:anchor="_Toc25054619" w:history="1">
        <w:r w:rsidRPr="0042654E">
          <w:rPr>
            <w:rStyle w:val="Lienhypertexte"/>
            <w:noProof/>
          </w:rPr>
          <w:t>Article 5 : Equipe dédiée</w:t>
        </w:r>
        <w:r>
          <w:rPr>
            <w:noProof/>
            <w:webHidden/>
          </w:rPr>
          <w:tab/>
        </w:r>
        <w:r>
          <w:rPr>
            <w:noProof/>
            <w:webHidden/>
          </w:rPr>
          <w:fldChar w:fldCharType="begin"/>
        </w:r>
        <w:r>
          <w:rPr>
            <w:noProof/>
            <w:webHidden/>
          </w:rPr>
          <w:instrText xml:space="preserve"> PAGEREF _Toc25054619 \h </w:instrText>
        </w:r>
        <w:r>
          <w:rPr>
            <w:noProof/>
            <w:webHidden/>
          </w:rPr>
        </w:r>
        <w:r>
          <w:rPr>
            <w:noProof/>
            <w:webHidden/>
          </w:rPr>
          <w:fldChar w:fldCharType="separate"/>
        </w:r>
        <w:r>
          <w:rPr>
            <w:noProof/>
            <w:webHidden/>
          </w:rPr>
          <w:t>4</w:t>
        </w:r>
        <w:r>
          <w:rPr>
            <w:noProof/>
            <w:webHidden/>
          </w:rPr>
          <w:fldChar w:fldCharType="end"/>
        </w:r>
      </w:hyperlink>
    </w:p>
    <w:p w14:paraId="1A879A36" w14:textId="77777777" w:rsidR="007F5F99" w:rsidRPr="00940185" w:rsidRDefault="007F5F99">
      <w:pPr>
        <w:pStyle w:val="TM1"/>
        <w:rPr>
          <w:rFonts w:ascii="Calibri" w:hAnsi="Calibri"/>
          <w:b w:val="0"/>
          <w:bCs w:val="0"/>
          <w:iCs w:val="0"/>
          <w:caps w:val="0"/>
          <w:noProof/>
          <w:color w:val="auto"/>
          <w:szCs w:val="22"/>
        </w:rPr>
      </w:pPr>
      <w:hyperlink w:anchor="_Toc25054620" w:history="1">
        <w:r w:rsidRPr="0042654E">
          <w:rPr>
            <w:rStyle w:val="Lienhypertexte"/>
            <w:noProof/>
          </w:rPr>
          <w:t>Article 6 : Prix du marché</w:t>
        </w:r>
        <w:r>
          <w:rPr>
            <w:noProof/>
            <w:webHidden/>
          </w:rPr>
          <w:tab/>
        </w:r>
        <w:r>
          <w:rPr>
            <w:noProof/>
            <w:webHidden/>
          </w:rPr>
          <w:fldChar w:fldCharType="begin"/>
        </w:r>
        <w:r>
          <w:rPr>
            <w:noProof/>
            <w:webHidden/>
          </w:rPr>
          <w:instrText xml:space="preserve"> PAGEREF _Toc25054620 \h </w:instrText>
        </w:r>
        <w:r>
          <w:rPr>
            <w:noProof/>
            <w:webHidden/>
          </w:rPr>
        </w:r>
        <w:r>
          <w:rPr>
            <w:noProof/>
            <w:webHidden/>
          </w:rPr>
          <w:fldChar w:fldCharType="separate"/>
        </w:r>
        <w:r>
          <w:rPr>
            <w:noProof/>
            <w:webHidden/>
          </w:rPr>
          <w:t>4</w:t>
        </w:r>
        <w:r>
          <w:rPr>
            <w:noProof/>
            <w:webHidden/>
          </w:rPr>
          <w:fldChar w:fldCharType="end"/>
        </w:r>
      </w:hyperlink>
    </w:p>
    <w:p w14:paraId="5F33D418" w14:textId="77777777" w:rsidR="007F5F99" w:rsidRPr="00940185" w:rsidRDefault="007F5F99">
      <w:pPr>
        <w:pStyle w:val="TM2"/>
        <w:tabs>
          <w:tab w:val="right" w:leader="underscore" w:pos="9346"/>
        </w:tabs>
        <w:rPr>
          <w:rFonts w:ascii="Calibri" w:hAnsi="Calibri"/>
          <w:b w:val="0"/>
          <w:bCs w:val="0"/>
          <w:noProof/>
        </w:rPr>
      </w:pPr>
      <w:hyperlink w:anchor="_Toc25054621" w:history="1">
        <w:r w:rsidRPr="0042654E">
          <w:rPr>
            <w:rStyle w:val="Lienhypertexte"/>
            <w:rFonts w:cs="Arial"/>
            <w:i/>
            <w:noProof/>
          </w:rPr>
          <w:t>6.1 – Caractéristiques des prix pratiqués</w:t>
        </w:r>
        <w:r>
          <w:rPr>
            <w:noProof/>
            <w:webHidden/>
          </w:rPr>
          <w:tab/>
        </w:r>
        <w:r>
          <w:rPr>
            <w:noProof/>
            <w:webHidden/>
          </w:rPr>
          <w:fldChar w:fldCharType="begin"/>
        </w:r>
        <w:r>
          <w:rPr>
            <w:noProof/>
            <w:webHidden/>
          </w:rPr>
          <w:instrText xml:space="preserve"> PAGEREF _Toc25054621 \h </w:instrText>
        </w:r>
        <w:r>
          <w:rPr>
            <w:noProof/>
            <w:webHidden/>
          </w:rPr>
        </w:r>
        <w:r>
          <w:rPr>
            <w:noProof/>
            <w:webHidden/>
          </w:rPr>
          <w:fldChar w:fldCharType="separate"/>
        </w:r>
        <w:r>
          <w:rPr>
            <w:noProof/>
            <w:webHidden/>
          </w:rPr>
          <w:t>5</w:t>
        </w:r>
        <w:r>
          <w:rPr>
            <w:noProof/>
            <w:webHidden/>
          </w:rPr>
          <w:fldChar w:fldCharType="end"/>
        </w:r>
      </w:hyperlink>
    </w:p>
    <w:p w14:paraId="625C8BB0" w14:textId="77777777" w:rsidR="007F5F99" w:rsidRPr="00940185" w:rsidRDefault="007F5F99">
      <w:pPr>
        <w:pStyle w:val="TM2"/>
        <w:tabs>
          <w:tab w:val="right" w:leader="underscore" w:pos="9346"/>
        </w:tabs>
        <w:rPr>
          <w:rFonts w:ascii="Calibri" w:hAnsi="Calibri"/>
          <w:b w:val="0"/>
          <w:bCs w:val="0"/>
          <w:noProof/>
        </w:rPr>
      </w:pPr>
      <w:hyperlink w:anchor="_Toc25054622" w:history="1">
        <w:r w:rsidRPr="0042654E">
          <w:rPr>
            <w:rStyle w:val="Lienhypertexte"/>
            <w:rFonts w:cs="Arial"/>
            <w:i/>
            <w:noProof/>
          </w:rPr>
          <w:t>6.2 – Variations dans les prix</w:t>
        </w:r>
        <w:r>
          <w:rPr>
            <w:noProof/>
            <w:webHidden/>
          </w:rPr>
          <w:tab/>
        </w:r>
        <w:r>
          <w:rPr>
            <w:noProof/>
            <w:webHidden/>
          </w:rPr>
          <w:fldChar w:fldCharType="begin"/>
        </w:r>
        <w:r>
          <w:rPr>
            <w:noProof/>
            <w:webHidden/>
          </w:rPr>
          <w:instrText xml:space="preserve"> PAGEREF _Toc25054622 \h </w:instrText>
        </w:r>
        <w:r>
          <w:rPr>
            <w:noProof/>
            <w:webHidden/>
          </w:rPr>
        </w:r>
        <w:r>
          <w:rPr>
            <w:noProof/>
            <w:webHidden/>
          </w:rPr>
          <w:fldChar w:fldCharType="separate"/>
        </w:r>
        <w:r>
          <w:rPr>
            <w:noProof/>
            <w:webHidden/>
          </w:rPr>
          <w:t>5</w:t>
        </w:r>
        <w:r>
          <w:rPr>
            <w:noProof/>
            <w:webHidden/>
          </w:rPr>
          <w:fldChar w:fldCharType="end"/>
        </w:r>
      </w:hyperlink>
    </w:p>
    <w:p w14:paraId="1367B927" w14:textId="77777777" w:rsidR="007F5F99" w:rsidRPr="00940185" w:rsidRDefault="007F5F99">
      <w:pPr>
        <w:pStyle w:val="TM1"/>
        <w:rPr>
          <w:rFonts w:ascii="Calibri" w:hAnsi="Calibri"/>
          <w:b w:val="0"/>
          <w:bCs w:val="0"/>
          <w:iCs w:val="0"/>
          <w:caps w:val="0"/>
          <w:noProof/>
          <w:color w:val="auto"/>
          <w:szCs w:val="22"/>
        </w:rPr>
      </w:pPr>
      <w:hyperlink w:anchor="_Toc25054623" w:history="1">
        <w:r w:rsidRPr="0042654E">
          <w:rPr>
            <w:rStyle w:val="Lienhypertexte"/>
            <w:noProof/>
          </w:rPr>
          <w:t>Article 7 : Modalités de règlement des comptes</w:t>
        </w:r>
        <w:r>
          <w:rPr>
            <w:noProof/>
            <w:webHidden/>
          </w:rPr>
          <w:tab/>
        </w:r>
        <w:r>
          <w:rPr>
            <w:noProof/>
            <w:webHidden/>
          </w:rPr>
          <w:fldChar w:fldCharType="begin"/>
        </w:r>
        <w:r>
          <w:rPr>
            <w:noProof/>
            <w:webHidden/>
          </w:rPr>
          <w:instrText xml:space="preserve"> PAGEREF _Toc25054623 \h </w:instrText>
        </w:r>
        <w:r>
          <w:rPr>
            <w:noProof/>
            <w:webHidden/>
          </w:rPr>
        </w:r>
        <w:r>
          <w:rPr>
            <w:noProof/>
            <w:webHidden/>
          </w:rPr>
          <w:fldChar w:fldCharType="separate"/>
        </w:r>
        <w:r>
          <w:rPr>
            <w:noProof/>
            <w:webHidden/>
          </w:rPr>
          <w:t>6</w:t>
        </w:r>
        <w:r>
          <w:rPr>
            <w:noProof/>
            <w:webHidden/>
          </w:rPr>
          <w:fldChar w:fldCharType="end"/>
        </w:r>
      </w:hyperlink>
    </w:p>
    <w:p w14:paraId="0D36DB52" w14:textId="77777777" w:rsidR="007F5F99" w:rsidRPr="00940185" w:rsidRDefault="007F5F99">
      <w:pPr>
        <w:pStyle w:val="TM2"/>
        <w:tabs>
          <w:tab w:val="right" w:leader="underscore" w:pos="9346"/>
        </w:tabs>
        <w:rPr>
          <w:rFonts w:ascii="Calibri" w:hAnsi="Calibri"/>
          <w:b w:val="0"/>
          <w:bCs w:val="0"/>
          <w:noProof/>
        </w:rPr>
      </w:pPr>
      <w:hyperlink w:anchor="_Toc25054624" w:history="1">
        <w:r w:rsidRPr="0042654E">
          <w:rPr>
            <w:rStyle w:val="Lienhypertexte"/>
            <w:rFonts w:cs="Arial"/>
            <w:i/>
            <w:noProof/>
          </w:rPr>
          <w:t>7.1 – Présentation des demandes de paiements</w:t>
        </w:r>
        <w:r>
          <w:rPr>
            <w:noProof/>
            <w:webHidden/>
          </w:rPr>
          <w:tab/>
        </w:r>
        <w:r>
          <w:rPr>
            <w:noProof/>
            <w:webHidden/>
          </w:rPr>
          <w:fldChar w:fldCharType="begin"/>
        </w:r>
        <w:r>
          <w:rPr>
            <w:noProof/>
            <w:webHidden/>
          </w:rPr>
          <w:instrText xml:space="preserve"> PAGEREF _Toc25054624 \h </w:instrText>
        </w:r>
        <w:r>
          <w:rPr>
            <w:noProof/>
            <w:webHidden/>
          </w:rPr>
        </w:r>
        <w:r>
          <w:rPr>
            <w:noProof/>
            <w:webHidden/>
          </w:rPr>
          <w:fldChar w:fldCharType="separate"/>
        </w:r>
        <w:r>
          <w:rPr>
            <w:noProof/>
            <w:webHidden/>
          </w:rPr>
          <w:t>6</w:t>
        </w:r>
        <w:r>
          <w:rPr>
            <w:noProof/>
            <w:webHidden/>
          </w:rPr>
          <w:fldChar w:fldCharType="end"/>
        </w:r>
      </w:hyperlink>
    </w:p>
    <w:p w14:paraId="0C889D94" w14:textId="77777777" w:rsidR="007F5F99" w:rsidRPr="00940185" w:rsidRDefault="007F5F99">
      <w:pPr>
        <w:pStyle w:val="TM2"/>
        <w:tabs>
          <w:tab w:val="right" w:leader="underscore" w:pos="9346"/>
        </w:tabs>
        <w:rPr>
          <w:rFonts w:ascii="Calibri" w:hAnsi="Calibri"/>
          <w:b w:val="0"/>
          <w:bCs w:val="0"/>
          <w:noProof/>
        </w:rPr>
      </w:pPr>
      <w:hyperlink w:anchor="_Toc25054625" w:history="1">
        <w:r w:rsidRPr="0042654E">
          <w:rPr>
            <w:rStyle w:val="Lienhypertexte"/>
            <w:rFonts w:cs="Arial"/>
            <w:i/>
            <w:noProof/>
          </w:rPr>
          <w:t>7.2 – Mode de règlement</w:t>
        </w:r>
        <w:r>
          <w:rPr>
            <w:noProof/>
            <w:webHidden/>
          </w:rPr>
          <w:tab/>
        </w:r>
        <w:r>
          <w:rPr>
            <w:noProof/>
            <w:webHidden/>
          </w:rPr>
          <w:fldChar w:fldCharType="begin"/>
        </w:r>
        <w:r>
          <w:rPr>
            <w:noProof/>
            <w:webHidden/>
          </w:rPr>
          <w:instrText xml:space="preserve"> PAGEREF _Toc25054625 \h </w:instrText>
        </w:r>
        <w:r>
          <w:rPr>
            <w:noProof/>
            <w:webHidden/>
          </w:rPr>
        </w:r>
        <w:r>
          <w:rPr>
            <w:noProof/>
            <w:webHidden/>
          </w:rPr>
          <w:fldChar w:fldCharType="separate"/>
        </w:r>
        <w:r>
          <w:rPr>
            <w:noProof/>
            <w:webHidden/>
          </w:rPr>
          <w:t>6</w:t>
        </w:r>
        <w:r>
          <w:rPr>
            <w:noProof/>
            <w:webHidden/>
          </w:rPr>
          <w:fldChar w:fldCharType="end"/>
        </w:r>
      </w:hyperlink>
    </w:p>
    <w:p w14:paraId="7011E080" w14:textId="77777777" w:rsidR="007F5F99" w:rsidRPr="00940185" w:rsidRDefault="007F5F99">
      <w:pPr>
        <w:pStyle w:val="TM1"/>
        <w:rPr>
          <w:rFonts w:ascii="Calibri" w:hAnsi="Calibri"/>
          <w:b w:val="0"/>
          <w:bCs w:val="0"/>
          <w:iCs w:val="0"/>
          <w:caps w:val="0"/>
          <w:noProof/>
          <w:color w:val="auto"/>
          <w:szCs w:val="22"/>
        </w:rPr>
      </w:pPr>
      <w:hyperlink w:anchor="_Toc25054626" w:history="1">
        <w:r w:rsidRPr="0042654E">
          <w:rPr>
            <w:rStyle w:val="Lienhypertexte"/>
            <w:noProof/>
          </w:rPr>
          <w:t>Article 8 : Pénalités de retard</w:t>
        </w:r>
        <w:r>
          <w:rPr>
            <w:noProof/>
            <w:webHidden/>
          </w:rPr>
          <w:tab/>
        </w:r>
        <w:r>
          <w:rPr>
            <w:noProof/>
            <w:webHidden/>
          </w:rPr>
          <w:fldChar w:fldCharType="begin"/>
        </w:r>
        <w:r>
          <w:rPr>
            <w:noProof/>
            <w:webHidden/>
          </w:rPr>
          <w:instrText xml:space="preserve"> PAGEREF _Toc25054626 \h </w:instrText>
        </w:r>
        <w:r>
          <w:rPr>
            <w:noProof/>
            <w:webHidden/>
          </w:rPr>
        </w:r>
        <w:r>
          <w:rPr>
            <w:noProof/>
            <w:webHidden/>
          </w:rPr>
          <w:fldChar w:fldCharType="separate"/>
        </w:r>
        <w:r>
          <w:rPr>
            <w:noProof/>
            <w:webHidden/>
          </w:rPr>
          <w:t>6</w:t>
        </w:r>
        <w:r>
          <w:rPr>
            <w:noProof/>
            <w:webHidden/>
          </w:rPr>
          <w:fldChar w:fldCharType="end"/>
        </w:r>
      </w:hyperlink>
    </w:p>
    <w:p w14:paraId="78DE6F01" w14:textId="77777777" w:rsidR="007F5F99" w:rsidRPr="00940185" w:rsidRDefault="007F5F99">
      <w:pPr>
        <w:pStyle w:val="TM1"/>
        <w:rPr>
          <w:rFonts w:ascii="Calibri" w:hAnsi="Calibri"/>
          <w:b w:val="0"/>
          <w:bCs w:val="0"/>
          <w:iCs w:val="0"/>
          <w:caps w:val="0"/>
          <w:noProof/>
          <w:color w:val="auto"/>
          <w:szCs w:val="22"/>
        </w:rPr>
      </w:pPr>
      <w:hyperlink w:anchor="_Toc25054627" w:history="1">
        <w:r w:rsidRPr="0042654E">
          <w:rPr>
            <w:rStyle w:val="Lienhypertexte"/>
            <w:noProof/>
          </w:rPr>
          <w:t>Article 9 : Assurances</w:t>
        </w:r>
        <w:r>
          <w:rPr>
            <w:noProof/>
            <w:webHidden/>
          </w:rPr>
          <w:tab/>
        </w:r>
        <w:r>
          <w:rPr>
            <w:noProof/>
            <w:webHidden/>
          </w:rPr>
          <w:fldChar w:fldCharType="begin"/>
        </w:r>
        <w:r>
          <w:rPr>
            <w:noProof/>
            <w:webHidden/>
          </w:rPr>
          <w:instrText xml:space="preserve"> PAGEREF _Toc25054627 \h </w:instrText>
        </w:r>
        <w:r>
          <w:rPr>
            <w:noProof/>
            <w:webHidden/>
          </w:rPr>
        </w:r>
        <w:r>
          <w:rPr>
            <w:noProof/>
            <w:webHidden/>
          </w:rPr>
          <w:fldChar w:fldCharType="separate"/>
        </w:r>
        <w:r>
          <w:rPr>
            <w:noProof/>
            <w:webHidden/>
          </w:rPr>
          <w:t>7</w:t>
        </w:r>
        <w:r>
          <w:rPr>
            <w:noProof/>
            <w:webHidden/>
          </w:rPr>
          <w:fldChar w:fldCharType="end"/>
        </w:r>
      </w:hyperlink>
    </w:p>
    <w:p w14:paraId="085577C5" w14:textId="77777777" w:rsidR="007F5F99" w:rsidRPr="00940185" w:rsidRDefault="007F5F99">
      <w:pPr>
        <w:pStyle w:val="TM1"/>
        <w:rPr>
          <w:rFonts w:ascii="Calibri" w:hAnsi="Calibri"/>
          <w:b w:val="0"/>
          <w:bCs w:val="0"/>
          <w:iCs w:val="0"/>
          <w:caps w:val="0"/>
          <w:noProof/>
          <w:color w:val="auto"/>
          <w:szCs w:val="22"/>
        </w:rPr>
      </w:pPr>
      <w:hyperlink w:anchor="_Toc25054628" w:history="1">
        <w:r w:rsidRPr="0042654E">
          <w:rPr>
            <w:rStyle w:val="Lienhypertexte"/>
            <w:noProof/>
          </w:rPr>
          <w:t>Article 11 : Résiliation du marché</w:t>
        </w:r>
        <w:r>
          <w:rPr>
            <w:noProof/>
            <w:webHidden/>
          </w:rPr>
          <w:tab/>
        </w:r>
        <w:r>
          <w:rPr>
            <w:noProof/>
            <w:webHidden/>
          </w:rPr>
          <w:fldChar w:fldCharType="begin"/>
        </w:r>
        <w:r>
          <w:rPr>
            <w:noProof/>
            <w:webHidden/>
          </w:rPr>
          <w:instrText xml:space="preserve"> PAGEREF _Toc25054628 \h </w:instrText>
        </w:r>
        <w:r>
          <w:rPr>
            <w:noProof/>
            <w:webHidden/>
          </w:rPr>
        </w:r>
        <w:r>
          <w:rPr>
            <w:noProof/>
            <w:webHidden/>
          </w:rPr>
          <w:fldChar w:fldCharType="separate"/>
        </w:r>
        <w:r>
          <w:rPr>
            <w:noProof/>
            <w:webHidden/>
          </w:rPr>
          <w:t>7</w:t>
        </w:r>
        <w:r>
          <w:rPr>
            <w:noProof/>
            <w:webHidden/>
          </w:rPr>
          <w:fldChar w:fldCharType="end"/>
        </w:r>
      </w:hyperlink>
    </w:p>
    <w:p w14:paraId="51E08487" w14:textId="77777777" w:rsidR="007F5F99" w:rsidRPr="00940185" w:rsidRDefault="007F5F99">
      <w:pPr>
        <w:pStyle w:val="TM1"/>
        <w:rPr>
          <w:rFonts w:ascii="Calibri" w:hAnsi="Calibri"/>
          <w:b w:val="0"/>
          <w:bCs w:val="0"/>
          <w:iCs w:val="0"/>
          <w:caps w:val="0"/>
          <w:noProof/>
          <w:color w:val="auto"/>
          <w:szCs w:val="22"/>
        </w:rPr>
      </w:pPr>
      <w:hyperlink w:anchor="_Toc25054629" w:history="1">
        <w:r w:rsidRPr="0042654E">
          <w:rPr>
            <w:rStyle w:val="Lienhypertexte"/>
            <w:noProof/>
          </w:rPr>
          <w:t>Article 12 : Droit et Langue</w:t>
        </w:r>
        <w:r>
          <w:rPr>
            <w:noProof/>
            <w:webHidden/>
          </w:rPr>
          <w:tab/>
        </w:r>
        <w:r>
          <w:rPr>
            <w:noProof/>
            <w:webHidden/>
          </w:rPr>
          <w:fldChar w:fldCharType="begin"/>
        </w:r>
        <w:r>
          <w:rPr>
            <w:noProof/>
            <w:webHidden/>
          </w:rPr>
          <w:instrText xml:space="preserve"> PAGEREF _Toc25054629 \h </w:instrText>
        </w:r>
        <w:r>
          <w:rPr>
            <w:noProof/>
            <w:webHidden/>
          </w:rPr>
        </w:r>
        <w:r>
          <w:rPr>
            <w:noProof/>
            <w:webHidden/>
          </w:rPr>
          <w:fldChar w:fldCharType="separate"/>
        </w:r>
        <w:r>
          <w:rPr>
            <w:noProof/>
            <w:webHidden/>
          </w:rPr>
          <w:t>7</w:t>
        </w:r>
        <w:r>
          <w:rPr>
            <w:noProof/>
            <w:webHidden/>
          </w:rPr>
          <w:fldChar w:fldCharType="end"/>
        </w:r>
      </w:hyperlink>
    </w:p>
    <w:p w14:paraId="2D48FF38" w14:textId="77777777" w:rsidR="000811DA" w:rsidRPr="00117FE2" w:rsidRDefault="00165CEC" w:rsidP="006771C4">
      <w:pPr>
        <w:tabs>
          <w:tab w:val="left" w:pos="993"/>
          <w:tab w:val="right" w:pos="9071"/>
        </w:tabs>
        <w:spacing w:after="200"/>
        <w:rPr>
          <w:rFonts w:ascii="Arial" w:hAnsi="Arial" w:cs="Arial"/>
          <w:smallCaps/>
          <w:szCs w:val="22"/>
          <w:u w:val="single"/>
        </w:rPr>
      </w:pPr>
      <w:r w:rsidRPr="00992170">
        <w:rPr>
          <w:rFonts w:cs="Arial"/>
          <w:smallCaps/>
          <w:szCs w:val="22"/>
          <w:u w:val="single"/>
        </w:rPr>
        <w:fldChar w:fldCharType="end"/>
      </w:r>
    </w:p>
    <w:p w14:paraId="6473C874" w14:textId="77777777" w:rsidR="00886D1D" w:rsidRPr="00117FE2" w:rsidRDefault="00886D1D" w:rsidP="000811DA">
      <w:pPr>
        <w:tabs>
          <w:tab w:val="right" w:pos="9071"/>
        </w:tabs>
        <w:spacing w:before="200" w:after="200"/>
        <w:rPr>
          <w:rFonts w:ascii="Arial" w:hAnsi="Arial" w:cs="Arial"/>
          <w:caps/>
          <w:szCs w:val="22"/>
          <w:u w:val="single"/>
        </w:rPr>
      </w:pPr>
    </w:p>
    <w:p w14:paraId="48DE046C" w14:textId="77777777" w:rsidR="00B71691" w:rsidRDefault="00B71691" w:rsidP="000E14F8">
      <w:pPr>
        <w:rPr>
          <w:b/>
          <w:caps/>
          <w:u w:val="single"/>
        </w:rPr>
      </w:pPr>
      <w:r>
        <w:rPr>
          <w:b/>
          <w:caps/>
          <w:u w:val="single"/>
        </w:rPr>
        <w:br w:type="page"/>
      </w:r>
    </w:p>
    <w:p w14:paraId="085C8DDC" w14:textId="77777777" w:rsidR="000811DA" w:rsidRPr="00C239E2" w:rsidRDefault="000811DA" w:rsidP="000E14F8">
      <w:pPr>
        <w:pStyle w:val="Titre1"/>
      </w:pPr>
      <w:bookmarkStart w:id="5" w:name="_Toc25054611"/>
      <w:r w:rsidRPr="00C239E2">
        <w:t xml:space="preserve">Article premier : </w:t>
      </w:r>
      <w:r w:rsidR="00401CC8" w:rsidRPr="00C239E2">
        <w:t xml:space="preserve"> </w:t>
      </w:r>
      <w:r w:rsidRPr="00C239E2">
        <w:t>Objet de la consultation - Dispositions générales</w:t>
      </w:r>
      <w:bookmarkEnd w:id="5"/>
    </w:p>
    <w:p w14:paraId="61BAF69A" w14:textId="77777777" w:rsidR="00C239E2" w:rsidRDefault="00C239E2" w:rsidP="00C239E2">
      <w:pPr>
        <w:keepNext/>
        <w:outlineLvl w:val="1"/>
        <w:rPr>
          <w:rFonts w:cs="Arial"/>
          <w:i/>
          <w:szCs w:val="22"/>
          <w:u w:val="single"/>
        </w:rPr>
      </w:pPr>
    </w:p>
    <w:p w14:paraId="5C936F4D" w14:textId="77777777" w:rsidR="000811DA" w:rsidRPr="00C239E2" w:rsidRDefault="000811DA" w:rsidP="00C239E2">
      <w:pPr>
        <w:keepNext/>
        <w:outlineLvl w:val="1"/>
        <w:rPr>
          <w:rFonts w:cs="Arial"/>
          <w:i/>
          <w:szCs w:val="22"/>
          <w:u w:val="single"/>
        </w:rPr>
      </w:pPr>
      <w:bookmarkStart w:id="6" w:name="_Toc25054612"/>
      <w:r w:rsidRPr="00C239E2">
        <w:rPr>
          <w:rFonts w:cs="Arial"/>
          <w:i/>
          <w:szCs w:val="22"/>
          <w:u w:val="single"/>
        </w:rPr>
        <w:t xml:space="preserve">1.1 </w:t>
      </w:r>
      <w:r w:rsidR="00F30569" w:rsidRPr="00C239E2">
        <w:rPr>
          <w:rFonts w:cs="Arial"/>
          <w:i/>
          <w:szCs w:val="22"/>
          <w:u w:val="single"/>
        </w:rPr>
        <w:t>–</w:t>
      </w:r>
      <w:r w:rsidRPr="00C239E2">
        <w:rPr>
          <w:rFonts w:cs="Arial"/>
          <w:i/>
          <w:szCs w:val="22"/>
          <w:u w:val="single"/>
        </w:rPr>
        <w:t xml:space="preserve"> </w:t>
      </w:r>
      <w:r w:rsidRPr="00C239E2">
        <w:rPr>
          <w:rFonts w:cs="Arial"/>
          <w:i/>
          <w:noProof/>
          <w:szCs w:val="22"/>
          <w:u w:val="single"/>
        </w:rPr>
        <w:t>Objet du marché</w:t>
      </w:r>
      <w:bookmarkEnd w:id="6"/>
    </w:p>
    <w:p w14:paraId="1F21B265" w14:textId="77777777" w:rsidR="006D2B6F" w:rsidRDefault="000811DA" w:rsidP="006D2B6F">
      <w:pPr>
        <w:keepLines/>
        <w:tabs>
          <w:tab w:val="left" w:pos="567"/>
          <w:tab w:val="left" w:pos="851"/>
          <w:tab w:val="left" w:pos="1134"/>
        </w:tabs>
        <w:jc w:val="both"/>
        <w:rPr>
          <w:rFonts w:cs="Arial"/>
          <w:noProof/>
          <w:szCs w:val="22"/>
        </w:rPr>
      </w:pPr>
      <w:r w:rsidRPr="00C239E2">
        <w:rPr>
          <w:rFonts w:cs="Arial"/>
          <w:noProof/>
          <w:szCs w:val="22"/>
        </w:rPr>
        <w:t xml:space="preserve">Les stipulations du présent cahier des clauses administratives particulières (C.C.A.P.) </w:t>
      </w:r>
      <w:r w:rsidR="006D2B6F">
        <w:rPr>
          <w:rFonts w:cs="Arial"/>
          <w:noProof/>
          <w:szCs w:val="22"/>
        </w:rPr>
        <w:t xml:space="preserve">concernent les garanties suivantes pour </w:t>
      </w:r>
      <w:r w:rsidR="00776864">
        <w:rPr>
          <w:rFonts w:cs="Arial"/>
          <w:noProof/>
          <w:szCs w:val="22"/>
        </w:rPr>
        <w:t xml:space="preserve">l’INSTITUT DU CERVEAU ET DE LA MOELLE EPINIERE </w:t>
      </w:r>
      <w:r w:rsidR="006D2B6F">
        <w:rPr>
          <w:rFonts w:cs="Arial"/>
          <w:noProof/>
          <w:szCs w:val="22"/>
        </w:rPr>
        <w:t>:</w:t>
      </w:r>
    </w:p>
    <w:p w14:paraId="6AC582DD" w14:textId="77777777" w:rsidR="006D2B6F" w:rsidRPr="00B22258" w:rsidRDefault="006D2B6F" w:rsidP="006D2B6F">
      <w:pPr>
        <w:jc w:val="both"/>
        <w:rPr>
          <w:b/>
        </w:rPr>
      </w:pPr>
    </w:p>
    <w:tbl>
      <w:tblPr>
        <w:tblW w:w="0" w:type="auto"/>
        <w:jc w:val="center"/>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6719"/>
      </w:tblGrid>
      <w:tr w:rsidR="00776864" w:rsidRPr="00B22258" w14:paraId="7381D1D9" w14:textId="77777777" w:rsidTr="0011135B">
        <w:trPr>
          <w:trHeight w:val="288"/>
          <w:jc w:val="center"/>
        </w:trPr>
        <w:tc>
          <w:tcPr>
            <w:tcW w:w="6719" w:type="dxa"/>
            <w:tcBorders>
              <w:top w:val="single" w:sz="4" w:space="0" w:color="auto"/>
              <w:left w:val="single" w:sz="4" w:space="0" w:color="auto"/>
              <w:bottom w:val="single" w:sz="4" w:space="0" w:color="auto"/>
              <w:right w:val="single" w:sz="4" w:space="0" w:color="auto"/>
            </w:tcBorders>
            <w:shd w:val="clear" w:color="auto" w:fill="551B39"/>
            <w:vAlign w:val="center"/>
          </w:tcPr>
          <w:p w14:paraId="363A3EA3" w14:textId="77777777" w:rsidR="00776864" w:rsidRPr="00B22258" w:rsidRDefault="00776864" w:rsidP="0011135B">
            <w:pPr>
              <w:jc w:val="center"/>
              <w:rPr>
                <w:b/>
                <w:bCs/>
                <w:sz w:val="20"/>
              </w:rPr>
            </w:pPr>
            <w:bookmarkStart w:id="7" w:name="_Hlk508271199"/>
            <w:r w:rsidRPr="00B22258">
              <w:rPr>
                <w:b/>
                <w:bCs/>
                <w:sz w:val="20"/>
              </w:rPr>
              <w:t>INTITULE DES GARANTIES</w:t>
            </w:r>
          </w:p>
        </w:tc>
      </w:tr>
      <w:tr w:rsidR="00776864" w:rsidRPr="00B22258" w14:paraId="302E5C05" w14:textId="77777777" w:rsidTr="0011135B">
        <w:trPr>
          <w:trHeight w:val="581"/>
          <w:jc w:val="center"/>
        </w:trPr>
        <w:tc>
          <w:tcPr>
            <w:tcW w:w="6719" w:type="dxa"/>
            <w:shd w:val="clear" w:color="auto" w:fill="CCCCCC"/>
            <w:vAlign w:val="center"/>
          </w:tcPr>
          <w:p w14:paraId="565C5B7B" w14:textId="77777777" w:rsidR="00776864" w:rsidRPr="00B22258" w:rsidRDefault="00317CFF" w:rsidP="00317CFF">
            <w:pPr>
              <w:jc w:val="center"/>
              <w:rPr>
                <w:b/>
                <w:sz w:val="20"/>
              </w:rPr>
            </w:pPr>
            <w:r>
              <w:rPr>
                <w:b/>
                <w:sz w:val="20"/>
              </w:rPr>
              <w:t>Responsabilité Civile Générale et Professionnelle</w:t>
            </w:r>
          </w:p>
        </w:tc>
      </w:tr>
      <w:tr w:rsidR="00776864" w:rsidRPr="00B22258" w14:paraId="24500487" w14:textId="77777777" w:rsidTr="0011135B">
        <w:trPr>
          <w:trHeight w:val="581"/>
          <w:jc w:val="center"/>
        </w:trPr>
        <w:tc>
          <w:tcPr>
            <w:tcW w:w="6719" w:type="dxa"/>
            <w:shd w:val="clear" w:color="auto" w:fill="auto"/>
            <w:vAlign w:val="center"/>
          </w:tcPr>
          <w:p w14:paraId="7D8CF997" w14:textId="77777777" w:rsidR="00776864" w:rsidRDefault="00317CFF" w:rsidP="0011135B">
            <w:pPr>
              <w:jc w:val="center"/>
              <w:rPr>
                <w:b/>
                <w:sz w:val="20"/>
              </w:rPr>
            </w:pPr>
            <w:r>
              <w:rPr>
                <w:b/>
                <w:sz w:val="20"/>
              </w:rPr>
              <w:t>Dommages aux Biens et risques divers</w:t>
            </w:r>
          </w:p>
        </w:tc>
      </w:tr>
      <w:bookmarkEnd w:id="7"/>
    </w:tbl>
    <w:p w14:paraId="2CCA6D76" w14:textId="77777777" w:rsidR="00C239E2" w:rsidRPr="00C239E2" w:rsidRDefault="00C239E2" w:rsidP="006D2B6F">
      <w:pPr>
        <w:keepLines/>
        <w:tabs>
          <w:tab w:val="left" w:pos="567"/>
          <w:tab w:val="left" w:pos="851"/>
          <w:tab w:val="left" w:pos="1134"/>
        </w:tabs>
        <w:jc w:val="both"/>
        <w:rPr>
          <w:rFonts w:cs="Arial"/>
          <w:noProof/>
          <w:szCs w:val="22"/>
        </w:rPr>
      </w:pPr>
    </w:p>
    <w:p w14:paraId="6CD6071B" w14:textId="77777777" w:rsidR="000811DA" w:rsidRPr="00C239E2" w:rsidRDefault="000811DA" w:rsidP="00C239E2">
      <w:pPr>
        <w:keepNext/>
        <w:outlineLvl w:val="1"/>
        <w:rPr>
          <w:rFonts w:cs="Arial"/>
          <w:i/>
          <w:szCs w:val="22"/>
          <w:u w:val="single"/>
        </w:rPr>
      </w:pPr>
      <w:bookmarkStart w:id="8" w:name="_Toc25054613"/>
      <w:r w:rsidRPr="00C239E2">
        <w:rPr>
          <w:rFonts w:cs="Arial"/>
          <w:i/>
          <w:szCs w:val="22"/>
          <w:u w:val="single"/>
        </w:rPr>
        <w:t xml:space="preserve">1.2 </w:t>
      </w:r>
      <w:r w:rsidR="00FF5783" w:rsidRPr="00C239E2">
        <w:rPr>
          <w:rFonts w:cs="Arial"/>
          <w:i/>
          <w:szCs w:val="22"/>
          <w:u w:val="single"/>
        </w:rPr>
        <w:t>–</w:t>
      </w:r>
      <w:r w:rsidRPr="00C239E2">
        <w:rPr>
          <w:rFonts w:cs="Arial"/>
          <w:i/>
          <w:szCs w:val="22"/>
          <w:u w:val="single"/>
        </w:rPr>
        <w:t xml:space="preserve"> </w:t>
      </w:r>
      <w:r w:rsidRPr="00C239E2">
        <w:rPr>
          <w:rFonts w:cs="Arial"/>
          <w:i/>
          <w:noProof/>
          <w:szCs w:val="22"/>
          <w:u w:val="single"/>
        </w:rPr>
        <w:t>Décomposition en lots</w:t>
      </w:r>
      <w:bookmarkEnd w:id="8"/>
    </w:p>
    <w:p w14:paraId="69DB7C56" w14:textId="77777777" w:rsidR="00776864" w:rsidRPr="00B22258" w:rsidRDefault="00776864" w:rsidP="00776864">
      <w:pPr>
        <w:keepLines/>
        <w:tabs>
          <w:tab w:val="left" w:pos="567"/>
          <w:tab w:val="left" w:pos="851"/>
          <w:tab w:val="left" w:pos="1134"/>
        </w:tabs>
        <w:jc w:val="both"/>
        <w:rPr>
          <w:rFonts w:cs="Arial"/>
          <w:noProof/>
          <w:szCs w:val="22"/>
        </w:rPr>
      </w:pPr>
      <w:r w:rsidRPr="00B22258">
        <w:rPr>
          <w:rFonts w:cs="Arial"/>
          <w:noProof/>
          <w:szCs w:val="22"/>
        </w:rPr>
        <w:t xml:space="preserve">Le marché comporte </w:t>
      </w:r>
      <w:r w:rsidR="00317CFF">
        <w:rPr>
          <w:rFonts w:cs="Arial"/>
          <w:noProof/>
          <w:szCs w:val="22"/>
        </w:rPr>
        <w:t>deux</w:t>
      </w:r>
      <w:r>
        <w:rPr>
          <w:rFonts w:cs="Arial"/>
          <w:noProof/>
          <w:szCs w:val="22"/>
        </w:rPr>
        <w:t xml:space="preserve"> lots </w:t>
      </w:r>
      <w:r w:rsidRPr="00B22258">
        <w:rPr>
          <w:rFonts w:cs="Arial"/>
          <w:b/>
          <w:noProof/>
          <w:szCs w:val="22"/>
        </w:rPr>
        <w:t>:</w:t>
      </w:r>
      <w:r w:rsidRPr="00B22258">
        <w:rPr>
          <w:rFonts w:cs="Arial"/>
          <w:noProof/>
          <w:szCs w:val="22"/>
        </w:rPr>
        <w:t xml:space="preserve"> </w:t>
      </w:r>
    </w:p>
    <w:p w14:paraId="243DCDE1" w14:textId="77777777" w:rsidR="00776864" w:rsidRPr="00B22258" w:rsidRDefault="00776864" w:rsidP="00776864">
      <w:pPr>
        <w:jc w:val="both"/>
        <w:rPr>
          <w:b/>
        </w:rPr>
      </w:pPr>
    </w:p>
    <w:tbl>
      <w:tblPr>
        <w:tblW w:w="8817" w:type="dxa"/>
        <w:jc w:val="center"/>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021"/>
        <w:gridCol w:w="7796"/>
      </w:tblGrid>
      <w:tr w:rsidR="00776864" w:rsidRPr="009C7E4A" w14:paraId="5BDD9E10" w14:textId="77777777" w:rsidTr="0011135B">
        <w:trPr>
          <w:trHeight w:val="282"/>
          <w:jc w:val="center"/>
        </w:trPr>
        <w:tc>
          <w:tcPr>
            <w:tcW w:w="1021" w:type="dxa"/>
            <w:tcBorders>
              <w:top w:val="single" w:sz="4" w:space="0" w:color="auto"/>
              <w:left w:val="single" w:sz="4" w:space="0" w:color="auto"/>
              <w:bottom w:val="single" w:sz="4" w:space="0" w:color="auto"/>
              <w:right w:val="single" w:sz="4" w:space="0" w:color="auto"/>
            </w:tcBorders>
            <w:shd w:val="clear" w:color="auto" w:fill="551B39"/>
            <w:vAlign w:val="center"/>
          </w:tcPr>
          <w:p w14:paraId="720FF405" w14:textId="77777777" w:rsidR="00776864" w:rsidRPr="009C7E4A" w:rsidRDefault="00776864" w:rsidP="0011135B">
            <w:pPr>
              <w:rPr>
                <w:b/>
                <w:bCs/>
                <w:sz w:val="20"/>
              </w:rPr>
            </w:pPr>
            <w:r w:rsidRPr="009C7E4A">
              <w:rPr>
                <w:b/>
                <w:bCs/>
                <w:sz w:val="20"/>
              </w:rPr>
              <w:t xml:space="preserve">N° LOT </w:t>
            </w:r>
          </w:p>
        </w:tc>
        <w:tc>
          <w:tcPr>
            <w:tcW w:w="7796" w:type="dxa"/>
            <w:tcBorders>
              <w:top w:val="single" w:sz="4" w:space="0" w:color="auto"/>
              <w:left w:val="single" w:sz="4" w:space="0" w:color="auto"/>
              <w:bottom w:val="single" w:sz="4" w:space="0" w:color="auto"/>
              <w:right w:val="single" w:sz="4" w:space="0" w:color="auto"/>
            </w:tcBorders>
            <w:shd w:val="clear" w:color="auto" w:fill="551B39"/>
            <w:vAlign w:val="center"/>
          </w:tcPr>
          <w:p w14:paraId="6911685D" w14:textId="77777777" w:rsidR="00776864" w:rsidRPr="009C7E4A" w:rsidRDefault="00776864" w:rsidP="0011135B">
            <w:pPr>
              <w:jc w:val="center"/>
              <w:rPr>
                <w:b/>
                <w:bCs/>
                <w:sz w:val="20"/>
              </w:rPr>
            </w:pPr>
            <w:r w:rsidRPr="009C7E4A">
              <w:rPr>
                <w:b/>
                <w:bCs/>
                <w:sz w:val="20"/>
              </w:rPr>
              <w:t>INTITULE DU LOT</w:t>
            </w:r>
          </w:p>
        </w:tc>
      </w:tr>
      <w:tr w:rsidR="00317CFF" w:rsidRPr="00C60991" w14:paraId="65A21562" w14:textId="77777777" w:rsidTr="0011135B">
        <w:trPr>
          <w:trHeight w:val="415"/>
          <w:jc w:val="center"/>
        </w:trPr>
        <w:tc>
          <w:tcPr>
            <w:tcW w:w="1021" w:type="dxa"/>
            <w:shd w:val="clear" w:color="auto" w:fill="CCCCCC"/>
            <w:vAlign w:val="center"/>
          </w:tcPr>
          <w:p w14:paraId="6005A354" w14:textId="77777777" w:rsidR="00317CFF" w:rsidRPr="009C7E4A" w:rsidRDefault="00317CFF" w:rsidP="00317CFF">
            <w:pPr>
              <w:jc w:val="center"/>
              <w:rPr>
                <w:b/>
                <w:bCs/>
                <w:sz w:val="20"/>
              </w:rPr>
            </w:pPr>
            <w:r>
              <w:rPr>
                <w:b/>
                <w:bCs/>
                <w:sz w:val="20"/>
              </w:rPr>
              <w:t>1</w:t>
            </w:r>
          </w:p>
        </w:tc>
        <w:tc>
          <w:tcPr>
            <w:tcW w:w="7796" w:type="dxa"/>
            <w:shd w:val="clear" w:color="auto" w:fill="CCCCCC"/>
            <w:vAlign w:val="center"/>
          </w:tcPr>
          <w:p w14:paraId="5357AD59" w14:textId="77777777" w:rsidR="00317CFF" w:rsidRPr="00C60991" w:rsidRDefault="00317CFF" w:rsidP="00317CFF">
            <w:pPr>
              <w:jc w:val="center"/>
              <w:rPr>
                <w:b/>
                <w:sz w:val="20"/>
              </w:rPr>
            </w:pPr>
            <w:r>
              <w:rPr>
                <w:b/>
                <w:sz w:val="20"/>
              </w:rPr>
              <w:t>Responsabilité Civile Générale et Professionnelle</w:t>
            </w:r>
          </w:p>
        </w:tc>
      </w:tr>
      <w:tr w:rsidR="00317CFF" w:rsidRPr="00C60991" w14:paraId="225CDA83" w14:textId="77777777" w:rsidTr="0011135B">
        <w:trPr>
          <w:trHeight w:val="415"/>
          <w:jc w:val="center"/>
        </w:trPr>
        <w:tc>
          <w:tcPr>
            <w:tcW w:w="1021" w:type="dxa"/>
            <w:shd w:val="clear" w:color="auto" w:fill="auto"/>
            <w:vAlign w:val="center"/>
          </w:tcPr>
          <w:p w14:paraId="161B3994" w14:textId="77777777" w:rsidR="00317CFF" w:rsidRDefault="00317CFF" w:rsidP="00317CFF">
            <w:pPr>
              <w:jc w:val="center"/>
              <w:rPr>
                <w:b/>
                <w:bCs/>
                <w:sz w:val="20"/>
              </w:rPr>
            </w:pPr>
            <w:r>
              <w:rPr>
                <w:b/>
                <w:bCs/>
                <w:sz w:val="20"/>
              </w:rPr>
              <w:t>2</w:t>
            </w:r>
          </w:p>
        </w:tc>
        <w:tc>
          <w:tcPr>
            <w:tcW w:w="7796" w:type="dxa"/>
            <w:shd w:val="clear" w:color="auto" w:fill="auto"/>
            <w:vAlign w:val="center"/>
          </w:tcPr>
          <w:p w14:paraId="2D7CA89A" w14:textId="77777777" w:rsidR="00317CFF" w:rsidRPr="00C60991" w:rsidRDefault="00317CFF" w:rsidP="00317CFF">
            <w:pPr>
              <w:jc w:val="center"/>
              <w:rPr>
                <w:b/>
                <w:sz w:val="20"/>
              </w:rPr>
            </w:pPr>
            <w:r>
              <w:rPr>
                <w:b/>
                <w:sz w:val="20"/>
              </w:rPr>
              <w:t>Dommages aux Biens et risques divers</w:t>
            </w:r>
          </w:p>
        </w:tc>
      </w:tr>
    </w:tbl>
    <w:p w14:paraId="5F37A0C4" w14:textId="77777777" w:rsidR="0007584B" w:rsidRDefault="0007584B" w:rsidP="0007584B">
      <w:pPr>
        <w:ind w:left="360"/>
        <w:jc w:val="both"/>
        <w:rPr>
          <w:b/>
        </w:rPr>
      </w:pPr>
    </w:p>
    <w:p w14:paraId="741F5C7C" w14:textId="77777777" w:rsidR="00A40192" w:rsidRDefault="007424A5" w:rsidP="00A40192">
      <w:pPr>
        <w:keepNext/>
        <w:jc w:val="both"/>
        <w:outlineLvl w:val="1"/>
        <w:rPr>
          <w:rFonts w:cs="Arial"/>
          <w:i/>
          <w:szCs w:val="22"/>
          <w:u w:val="single"/>
        </w:rPr>
      </w:pPr>
      <w:bookmarkStart w:id="9" w:name="_Toc25054614"/>
      <w:r w:rsidRPr="00183C85">
        <w:rPr>
          <w:rFonts w:cs="Arial"/>
          <w:i/>
          <w:szCs w:val="22"/>
          <w:u w:val="single"/>
        </w:rPr>
        <w:t>1.</w:t>
      </w:r>
      <w:r w:rsidR="00AA4B9D">
        <w:rPr>
          <w:rFonts w:cs="Arial"/>
          <w:i/>
          <w:szCs w:val="22"/>
          <w:u w:val="single"/>
        </w:rPr>
        <w:t>3</w:t>
      </w:r>
      <w:r w:rsidR="000811DA" w:rsidRPr="00183C85">
        <w:rPr>
          <w:rFonts w:cs="Arial"/>
          <w:i/>
          <w:szCs w:val="22"/>
          <w:u w:val="single"/>
        </w:rPr>
        <w:t xml:space="preserve"> </w:t>
      </w:r>
      <w:r w:rsidR="00FF5783" w:rsidRPr="00183C85">
        <w:rPr>
          <w:rFonts w:cs="Arial"/>
          <w:i/>
          <w:szCs w:val="22"/>
          <w:u w:val="single"/>
        </w:rPr>
        <w:t>–</w:t>
      </w:r>
      <w:r w:rsidR="00905866" w:rsidRPr="00183C85">
        <w:rPr>
          <w:rFonts w:cs="Arial"/>
          <w:i/>
          <w:szCs w:val="22"/>
          <w:u w:val="single"/>
        </w:rPr>
        <w:t xml:space="preserve"> D</w:t>
      </w:r>
      <w:r w:rsidR="000811DA" w:rsidRPr="00183C85">
        <w:rPr>
          <w:rFonts w:cs="Arial"/>
          <w:i/>
          <w:noProof/>
          <w:szCs w:val="22"/>
          <w:u w:val="single"/>
        </w:rPr>
        <w:t>urée du marché</w:t>
      </w:r>
      <w:bookmarkEnd w:id="9"/>
      <w:r w:rsidRPr="00183C85">
        <w:rPr>
          <w:rFonts w:cs="Arial"/>
          <w:i/>
          <w:noProof/>
          <w:szCs w:val="22"/>
          <w:u w:val="single"/>
        </w:rPr>
        <w:t xml:space="preserve"> </w:t>
      </w:r>
    </w:p>
    <w:p w14:paraId="722C06B7" w14:textId="77777777" w:rsidR="00A40192" w:rsidRDefault="00A40192" w:rsidP="00A40192">
      <w:pPr>
        <w:keepNext/>
        <w:jc w:val="both"/>
        <w:outlineLvl w:val="1"/>
        <w:rPr>
          <w:rFonts w:cs="Arial"/>
          <w:szCs w:val="22"/>
        </w:rPr>
      </w:pPr>
    </w:p>
    <w:p w14:paraId="1E0A9C7C" w14:textId="77777777" w:rsidR="00776864" w:rsidRDefault="00776864" w:rsidP="00776864">
      <w:pPr>
        <w:ind w:left="142"/>
        <w:jc w:val="both"/>
        <w:rPr>
          <w:rFonts w:cs="Arial"/>
          <w:szCs w:val="22"/>
        </w:rPr>
      </w:pPr>
      <w:r>
        <w:rPr>
          <w:rFonts w:cs="Arial"/>
          <w:szCs w:val="22"/>
        </w:rPr>
        <w:t xml:space="preserve">Les contrats prennent effet </w:t>
      </w:r>
      <w:r>
        <w:rPr>
          <w:rFonts w:cs="Arial"/>
          <w:b/>
          <w:szCs w:val="22"/>
        </w:rPr>
        <w:t>au 1</w:t>
      </w:r>
      <w:r w:rsidRPr="00716BD2">
        <w:rPr>
          <w:rFonts w:cs="Arial"/>
          <w:b/>
          <w:szCs w:val="22"/>
          <w:vertAlign w:val="superscript"/>
        </w:rPr>
        <w:t>er</w:t>
      </w:r>
      <w:r>
        <w:rPr>
          <w:rFonts w:cs="Arial"/>
          <w:b/>
          <w:szCs w:val="22"/>
        </w:rPr>
        <w:t xml:space="preserve"> janvier 20</w:t>
      </w:r>
      <w:r w:rsidR="00317CFF">
        <w:rPr>
          <w:rFonts w:cs="Arial"/>
          <w:b/>
          <w:szCs w:val="22"/>
        </w:rPr>
        <w:t>20</w:t>
      </w:r>
      <w:r>
        <w:rPr>
          <w:rFonts w:cs="Arial"/>
          <w:b/>
          <w:szCs w:val="22"/>
        </w:rPr>
        <w:t xml:space="preserve"> jusqu’au 31 décembre 2023, </w:t>
      </w:r>
      <w:r w:rsidRPr="001E6F7B">
        <w:rPr>
          <w:rFonts w:cs="Arial"/>
          <w:szCs w:val="22"/>
        </w:rPr>
        <w:t xml:space="preserve">incluant, en cas de résiliation, le respect d’un préavis de </w:t>
      </w:r>
      <w:r w:rsidR="00317CFF">
        <w:rPr>
          <w:rFonts w:cs="Arial"/>
          <w:b/>
          <w:szCs w:val="22"/>
        </w:rPr>
        <w:t>quatre</w:t>
      </w:r>
      <w:r w:rsidRPr="001E6F7B">
        <w:rPr>
          <w:rFonts w:cs="Arial"/>
          <w:b/>
          <w:szCs w:val="22"/>
        </w:rPr>
        <w:t xml:space="preserve"> mois</w:t>
      </w:r>
      <w:r w:rsidRPr="001E6F7B">
        <w:rPr>
          <w:rFonts w:cs="Arial"/>
          <w:szCs w:val="22"/>
        </w:rPr>
        <w:t xml:space="preserve"> pour </w:t>
      </w:r>
      <w:r w:rsidR="00317CFF">
        <w:rPr>
          <w:rFonts w:cs="Arial"/>
          <w:szCs w:val="22"/>
        </w:rPr>
        <w:t xml:space="preserve">l’assureur et </w:t>
      </w:r>
      <w:r w:rsidR="00317CFF" w:rsidRPr="00317CFF">
        <w:rPr>
          <w:rFonts w:cs="Arial"/>
          <w:b/>
          <w:bCs/>
          <w:szCs w:val="22"/>
        </w:rPr>
        <w:t>deux mois</w:t>
      </w:r>
      <w:r w:rsidR="00317CFF">
        <w:rPr>
          <w:rFonts w:cs="Arial"/>
          <w:szCs w:val="22"/>
        </w:rPr>
        <w:t xml:space="preserve"> pour l’assuré </w:t>
      </w:r>
      <w:r w:rsidRPr="001E6F7B">
        <w:rPr>
          <w:rFonts w:cs="Arial"/>
          <w:szCs w:val="22"/>
        </w:rPr>
        <w:t>à compter de la date d’échéance.</w:t>
      </w:r>
    </w:p>
    <w:p w14:paraId="1821FA38" w14:textId="77777777" w:rsidR="00A40192" w:rsidRPr="00A40192" w:rsidRDefault="00A40192" w:rsidP="00A40192">
      <w:pPr>
        <w:keepNext/>
        <w:jc w:val="both"/>
        <w:outlineLvl w:val="1"/>
        <w:rPr>
          <w:rFonts w:cs="Arial"/>
          <w:i/>
          <w:szCs w:val="22"/>
          <w:u w:val="single"/>
        </w:rPr>
      </w:pPr>
    </w:p>
    <w:p w14:paraId="6A890085" w14:textId="77777777" w:rsidR="005E66B7" w:rsidRDefault="005E66B7" w:rsidP="003A672B">
      <w:pPr>
        <w:keepNext/>
        <w:ind w:right="57"/>
        <w:jc w:val="both"/>
        <w:outlineLvl w:val="3"/>
        <w:rPr>
          <w:rFonts w:cs="Arial"/>
          <w:szCs w:val="22"/>
        </w:rPr>
      </w:pPr>
    </w:p>
    <w:p w14:paraId="24E5E7C7" w14:textId="77777777" w:rsidR="000811DA" w:rsidRPr="00C239E2" w:rsidRDefault="000811DA" w:rsidP="007341A5">
      <w:pPr>
        <w:pStyle w:val="Titre1"/>
      </w:pPr>
      <w:bookmarkStart w:id="10" w:name="_Toc25054615"/>
      <w:r w:rsidRPr="00C239E2">
        <w:t>Article 2 : Pièces constitutives du marché</w:t>
      </w:r>
      <w:bookmarkEnd w:id="10"/>
    </w:p>
    <w:p w14:paraId="22F981A1" w14:textId="77777777" w:rsidR="00A26BA7" w:rsidRPr="00C239E2" w:rsidRDefault="00A26BA7" w:rsidP="00C239E2">
      <w:pPr>
        <w:rPr>
          <w:rFonts w:cs="Arial"/>
          <w:szCs w:val="22"/>
        </w:rPr>
      </w:pPr>
    </w:p>
    <w:p w14:paraId="58EECA24" w14:textId="77777777" w:rsidR="00B71691" w:rsidRDefault="00A26950" w:rsidP="00F912A0">
      <w:pPr>
        <w:jc w:val="both"/>
        <w:rPr>
          <w:rFonts w:cs="Arial"/>
          <w:szCs w:val="22"/>
        </w:rPr>
      </w:pPr>
      <w:r w:rsidRPr="00A26950">
        <w:rPr>
          <w:rFonts w:cs="Arial"/>
          <w:szCs w:val="22"/>
        </w:rPr>
        <w:t>Le marché est constitué par les documents contractuels énumérés ci-dessous par ordre de priorité décroissante :</w:t>
      </w:r>
    </w:p>
    <w:p w14:paraId="5BCD99F3" w14:textId="77777777" w:rsidR="00A26950" w:rsidRPr="00FB0F8B" w:rsidRDefault="00CA2509" w:rsidP="009B68C5">
      <w:pPr>
        <w:pStyle w:val="Corpsdetexte"/>
        <w:numPr>
          <w:ilvl w:val="0"/>
          <w:numId w:val="17"/>
        </w:numPr>
        <w:spacing w:after="0"/>
        <w:jc w:val="both"/>
        <w:rPr>
          <w:rFonts w:ascii="Exo Regular" w:hAnsi="Exo Regular"/>
          <w:szCs w:val="22"/>
        </w:rPr>
      </w:pPr>
      <w:r w:rsidRPr="00FB0F8B">
        <w:rPr>
          <w:rFonts w:ascii="Exo Regular" w:hAnsi="Exo Regular"/>
          <w:szCs w:val="22"/>
        </w:rPr>
        <w:t>l'</w:t>
      </w:r>
      <w:r w:rsidR="008F19C7" w:rsidRPr="00FB0F8B">
        <w:rPr>
          <w:rFonts w:ascii="Exo Regular" w:hAnsi="Exo Regular"/>
          <w:szCs w:val="22"/>
        </w:rPr>
        <w:t>A</w:t>
      </w:r>
      <w:r w:rsidRPr="00FB0F8B">
        <w:rPr>
          <w:rFonts w:ascii="Exo Regular" w:hAnsi="Exo Regular"/>
          <w:szCs w:val="22"/>
        </w:rPr>
        <w:t>cte d'</w:t>
      </w:r>
      <w:r w:rsidR="008F19C7" w:rsidRPr="00FB0F8B">
        <w:rPr>
          <w:rFonts w:ascii="Exo Regular" w:hAnsi="Exo Regular"/>
          <w:szCs w:val="22"/>
        </w:rPr>
        <w:t>E</w:t>
      </w:r>
      <w:r w:rsidRPr="00FB0F8B">
        <w:rPr>
          <w:rFonts w:ascii="Exo Regular" w:hAnsi="Exo Regular"/>
          <w:szCs w:val="22"/>
        </w:rPr>
        <w:t>ngagement (AE)</w:t>
      </w:r>
      <w:r w:rsidR="00F912A0">
        <w:rPr>
          <w:rFonts w:ascii="Exo Regular" w:hAnsi="Exo Regular"/>
          <w:szCs w:val="22"/>
          <w:lang w:val="fr-FR"/>
        </w:rPr>
        <w:t xml:space="preserve"> de chaque lot</w:t>
      </w:r>
      <w:r w:rsidRPr="00FB0F8B">
        <w:rPr>
          <w:rFonts w:ascii="Exo Regular" w:hAnsi="Exo Regular"/>
          <w:szCs w:val="22"/>
        </w:rPr>
        <w:t xml:space="preserve"> et ses éventuelles annexes n°1 « réserves faites au </w:t>
      </w:r>
      <w:r w:rsidR="008F19C7" w:rsidRPr="00FB0F8B">
        <w:rPr>
          <w:rFonts w:ascii="Exo Regular" w:hAnsi="Exo Regular"/>
          <w:szCs w:val="22"/>
        </w:rPr>
        <w:t>C</w:t>
      </w:r>
      <w:r w:rsidRPr="00FB0F8B">
        <w:rPr>
          <w:rFonts w:ascii="Exo Regular" w:hAnsi="Exo Regular"/>
          <w:szCs w:val="22"/>
        </w:rPr>
        <w:t xml:space="preserve">ahier des </w:t>
      </w:r>
      <w:r w:rsidR="008F19C7" w:rsidRPr="00FB0F8B">
        <w:rPr>
          <w:rFonts w:ascii="Exo Regular" w:hAnsi="Exo Regular"/>
          <w:szCs w:val="22"/>
        </w:rPr>
        <w:t>C</w:t>
      </w:r>
      <w:r w:rsidRPr="00FB0F8B">
        <w:rPr>
          <w:rFonts w:ascii="Exo Regular" w:hAnsi="Exo Regular"/>
          <w:szCs w:val="22"/>
        </w:rPr>
        <w:t xml:space="preserve">lauses </w:t>
      </w:r>
      <w:r w:rsidR="008F19C7" w:rsidRPr="00FB0F8B">
        <w:rPr>
          <w:rFonts w:ascii="Exo Regular" w:hAnsi="Exo Regular"/>
          <w:szCs w:val="22"/>
        </w:rPr>
        <w:t>T</w:t>
      </w:r>
      <w:r w:rsidRPr="00FB0F8B">
        <w:rPr>
          <w:rFonts w:ascii="Exo Regular" w:hAnsi="Exo Regular"/>
          <w:szCs w:val="22"/>
        </w:rPr>
        <w:t xml:space="preserve">echniques </w:t>
      </w:r>
      <w:r w:rsidR="008F19C7" w:rsidRPr="00FB0F8B">
        <w:rPr>
          <w:rFonts w:ascii="Exo Regular" w:hAnsi="Exo Regular"/>
          <w:szCs w:val="22"/>
        </w:rPr>
        <w:t>P</w:t>
      </w:r>
      <w:r w:rsidRPr="00FB0F8B">
        <w:rPr>
          <w:rFonts w:ascii="Exo Regular" w:hAnsi="Exo Regular"/>
          <w:szCs w:val="22"/>
        </w:rPr>
        <w:t>articul</w:t>
      </w:r>
      <w:r w:rsidR="005E66B7" w:rsidRPr="00FB0F8B">
        <w:rPr>
          <w:rFonts w:ascii="Exo Regular" w:hAnsi="Exo Regular"/>
          <w:szCs w:val="22"/>
        </w:rPr>
        <w:t>ières » et n°2 « co-traitance »</w:t>
      </w:r>
      <w:r w:rsidR="008F19C7" w:rsidRPr="00FB0F8B">
        <w:rPr>
          <w:rFonts w:ascii="Exo Regular" w:hAnsi="Exo Regular"/>
          <w:szCs w:val="22"/>
        </w:rPr>
        <w:t xml:space="preserve">, </w:t>
      </w:r>
      <w:r w:rsidR="00A26950" w:rsidRPr="00FB0F8B">
        <w:rPr>
          <w:rFonts w:ascii="Exo Regular" w:hAnsi="Exo Regular"/>
          <w:szCs w:val="22"/>
        </w:rPr>
        <w:t xml:space="preserve">l’original conservé dans les archives du </w:t>
      </w:r>
      <w:r w:rsidR="00F912A0">
        <w:rPr>
          <w:rFonts w:ascii="Exo Regular" w:hAnsi="Exo Regular"/>
          <w:szCs w:val="22"/>
          <w:lang w:val="fr-FR"/>
        </w:rPr>
        <w:t>Souscripteur</w:t>
      </w:r>
      <w:r w:rsidR="00A26950" w:rsidRPr="00FB0F8B">
        <w:rPr>
          <w:rFonts w:ascii="Exo Regular" w:hAnsi="Exo Regular"/>
          <w:szCs w:val="22"/>
        </w:rPr>
        <w:t xml:space="preserve"> fai</w:t>
      </w:r>
      <w:r w:rsidR="008F19C7" w:rsidRPr="00FB0F8B">
        <w:rPr>
          <w:rFonts w:ascii="Exo Regular" w:hAnsi="Exo Regular"/>
          <w:szCs w:val="22"/>
        </w:rPr>
        <w:t>san</w:t>
      </w:r>
      <w:r w:rsidR="00A26950" w:rsidRPr="00FB0F8B">
        <w:rPr>
          <w:rFonts w:ascii="Exo Regular" w:hAnsi="Exo Regular"/>
          <w:szCs w:val="22"/>
        </w:rPr>
        <w:t>t seul foi ;</w:t>
      </w:r>
    </w:p>
    <w:p w14:paraId="7997D511" w14:textId="77777777" w:rsidR="00174C86" w:rsidRPr="00FB0F8B" w:rsidRDefault="00174C86" w:rsidP="009B68C5">
      <w:pPr>
        <w:pStyle w:val="Corpsdetexte"/>
        <w:spacing w:after="0"/>
        <w:jc w:val="both"/>
        <w:rPr>
          <w:rFonts w:ascii="Exo Regular" w:hAnsi="Exo Regular"/>
          <w:szCs w:val="22"/>
        </w:rPr>
      </w:pPr>
    </w:p>
    <w:p w14:paraId="50D5EC8E" w14:textId="77777777" w:rsidR="00A26950" w:rsidRPr="00FB0F8B" w:rsidRDefault="000811DA" w:rsidP="009B68C5">
      <w:pPr>
        <w:pStyle w:val="Corpsdetexte"/>
        <w:numPr>
          <w:ilvl w:val="0"/>
          <w:numId w:val="17"/>
        </w:numPr>
        <w:spacing w:after="0"/>
        <w:jc w:val="both"/>
        <w:rPr>
          <w:rFonts w:ascii="Exo Regular" w:hAnsi="Exo Regular"/>
          <w:szCs w:val="22"/>
        </w:rPr>
      </w:pPr>
      <w:r w:rsidRPr="00FB0F8B">
        <w:rPr>
          <w:rFonts w:ascii="Exo Regular" w:hAnsi="Exo Regular" w:cs="Arial"/>
          <w:noProof/>
          <w:szCs w:val="22"/>
        </w:rPr>
        <w:t xml:space="preserve">Le présent </w:t>
      </w:r>
      <w:r w:rsidR="008F19C7" w:rsidRPr="00FB0F8B">
        <w:rPr>
          <w:rFonts w:ascii="Exo Regular" w:hAnsi="Exo Regular" w:cs="Arial"/>
          <w:noProof/>
          <w:szCs w:val="22"/>
        </w:rPr>
        <w:t>C</w:t>
      </w:r>
      <w:r w:rsidRPr="00FB0F8B">
        <w:rPr>
          <w:rFonts w:ascii="Exo Regular" w:hAnsi="Exo Regular" w:cs="Arial"/>
          <w:noProof/>
          <w:szCs w:val="22"/>
        </w:rPr>
        <w:t xml:space="preserve">ahier des </w:t>
      </w:r>
      <w:r w:rsidR="008F19C7" w:rsidRPr="00FB0F8B">
        <w:rPr>
          <w:rFonts w:ascii="Exo Regular" w:hAnsi="Exo Regular" w:cs="Arial"/>
          <w:noProof/>
          <w:szCs w:val="22"/>
        </w:rPr>
        <w:t>C</w:t>
      </w:r>
      <w:r w:rsidRPr="00FB0F8B">
        <w:rPr>
          <w:rFonts w:ascii="Exo Regular" w:hAnsi="Exo Regular" w:cs="Arial"/>
          <w:noProof/>
          <w:szCs w:val="22"/>
        </w:rPr>
        <w:t xml:space="preserve">lauses </w:t>
      </w:r>
      <w:r w:rsidR="008F19C7" w:rsidRPr="00FB0F8B">
        <w:rPr>
          <w:rFonts w:ascii="Exo Regular" w:hAnsi="Exo Regular" w:cs="Arial"/>
          <w:noProof/>
          <w:szCs w:val="22"/>
        </w:rPr>
        <w:t>A</w:t>
      </w:r>
      <w:r w:rsidRPr="00FB0F8B">
        <w:rPr>
          <w:rFonts w:ascii="Exo Regular" w:hAnsi="Exo Regular" w:cs="Arial"/>
          <w:noProof/>
          <w:szCs w:val="22"/>
        </w:rPr>
        <w:t>dminist</w:t>
      </w:r>
      <w:r w:rsidR="00305C6B" w:rsidRPr="00FB0F8B">
        <w:rPr>
          <w:rFonts w:ascii="Exo Regular" w:hAnsi="Exo Regular" w:cs="Arial"/>
          <w:noProof/>
          <w:szCs w:val="22"/>
        </w:rPr>
        <w:t>r</w:t>
      </w:r>
      <w:r w:rsidR="00992170" w:rsidRPr="00FB0F8B">
        <w:rPr>
          <w:rFonts w:ascii="Exo Regular" w:hAnsi="Exo Regular" w:cs="Arial"/>
          <w:noProof/>
          <w:szCs w:val="22"/>
        </w:rPr>
        <w:t xml:space="preserve">atives </w:t>
      </w:r>
      <w:r w:rsidR="008F19C7" w:rsidRPr="00FB0F8B">
        <w:rPr>
          <w:rFonts w:ascii="Exo Regular" w:hAnsi="Exo Regular" w:cs="Arial"/>
          <w:noProof/>
          <w:szCs w:val="22"/>
        </w:rPr>
        <w:t>P</w:t>
      </w:r>
      <w:r w:rsidR="00992170" w:rsidRPr="00FB0F8B">
        <w:rPr>
          <w:rFonts w:ascii="Exo Regular" w:hAnsi="Exo Regular" w:cs="Arial"/>
          <w:noProof/>
          <w:szCs w:val="22"/>
        </w:rPr>
        <w:t>articulières (C.C.A.P.)</w:t>
      </w:r>
      <w:r w:rsidR="00F912A0">
        <w:rPr>
          <w:rFonts w:ascii="Exo Regular" w:hAnsi="Exo Regular" w:cs="Arial"/>
          <w:noProof/>
          <w:szCs w:val="22"/>
          <w:lang w:val="fr-FR"/>
        </w:rPr>
        <w:t xml:space="preserve"> commun à tous les lots</w:t>
      </w:r>
      <w:r w:rsidR="00A40192">
        <w:rPr>
          <w:rFonts w:ascii="Exo Regular" w:hAnsi="Exo Regular" w:cs="Arial"/>
          <w:noProof/>
          <w:szCs w:val="22"/>
          <w:lang w:val="fr-FR"/>
        </w:rPr>
        <w:t xml:space="preserve">, </w:t>
      </w:r>
      <w:r w:rsidR="00A26950" w:rsidRPr="00FB0F8B">
        <w:rPr>
          <w:rFonts w:ascii="Exo Regular" w:hAnsi="Exo Regular"/>
          <w:szCs w:val="22"/>
        </w:rPr>
        <w:t xml:space="preserve">dont l’original conservé dans les archives du </w:t>
      </w:r>
      <w:r w:rsidR="00F912A0">
        <w:rPr>
          <w:rFonts w:ascii="Exo Regular" w:hAnsi="Exo Regular"/>
          <w:szCs w:val="22"/>
          <w:lang w:val="fr-FR"/>
        </w:rPr>
        <w:t>souscripteur</w:t>
      </w:r>
      <w:r w:rsidR="00A26950" w:rsidRPr="00FB0F8B">
        <w:rPr>
          <w:rFonts w:ascii="Exo Regular" w:hAnsi="Exo Regular"/>
          <w:szCs w:val="22"/>
        </w:rPr>
        <w:t xml:space="preserve"> fait seul foi ;</w:t>
      </w:r>
    </w:p>
    <w:p w14:paraId="39E0D555" w14:textId="77777777" w:rsidR="000811DA" w:rsidRPr="00FB0F8B" w:rsidRDefault="000811DA" w:rsidP="009B68C5">
      <w:pPr>
        <w:keepLines/>
        <w:ind w:left="1069"/>
        <w:jc w:val="both"/>
        <w:rPr>
          <w:rFonts w:cs="Arial"/>
          <w:noProof/>
          <w:szCs w:val="22"/>
        </w:rPr>
      </w:pPr>
    </w:p>
    <w:p w14:paraId="0164FE3E" w14:textId="77777777" w:rsidR="00A26950" w:rsidRPr="00FB0F8B" w:rsidRDefault="000811DA" w:rsidP="009B68C5">
      <w:pPr>
        <w:pStyle w:val="Corpsdetexte"/>
        <w:numPr>
          <w:ilvl w:val="0"/>
          <w:numId w:val="17"/>
        </w:numPr>
        <w:spacing w:after="0"/>
        <w:jc w:val="both"/>
        <w:rPr>
          <w:rFonts w:ascii="Exo Regular" w:hAnsi="Exo Regular"/>
          <w:szCs w:val="22"/>
        </w:rPr>
      </w:pPr>
      <w:r w:rsidRPr="00FB0F8B">
        <w:rPr>
          <w:rFonts w:ascii="Exo Regular" w:hAnsi="Exo Regular"/>
          <w:szCs w:val="22"/>
        </w:rPr>
        <w:t>Le</w:t>
      </w:r>
      <w:r w:rsidR="005E66B7" w:rsidRPr="00FB0F8B">
        <w:rPr>
          <w:rFonts w:ascii="Exo Regular" w:hAnsi="Exo Regular"/>
          <w:szCs w:val="22"/>
        </w:rPr>
        <w:t xml:space="preserve"> </w:t>
      </w:r>
      <w:r w:rsidR="008F19C7" w:rsidRPr="00FB0F8B">
        <w:rPr>
          <w:rFonts w:ascii="Exo Regular" w:hAnsi="Exo Regular"/>
          <w:szCs w:val="22"/>
        </w:rPr>
        <w:t>C</w:t>
      </w:r>
      <w:r w:rsidRPr="00FB0F8B">
        <w:rPr>
          <w:rFonts w:ascii="Exo Regular" w:hAnsi="Exo Regular"/>
          <w:szCs w:val="22"/>
        </w:rPr>
        <w:t xml:space="preserve">ahier </w:t>
      </w:r>
      <w:r w:rsidR="005E66B7" w:rsidRPr="00FB0F8B">
        <w:rPr>
          <w:rFonts w:ascii="Exo Regular" w:hAnsi="Exo Regular"/>
          <w:szCs w:val="22"/>
        </w:rPr>
        <w:t xml:space="preserve">des </w:t>
      </w:r>
      <w:r w:rsidR="008F19C7" w:rsidRPr="00FB0F8B">
        <w:rPr>
          <w:rFonts w:ascii="Exo Regular" w:hAnsi="Exo Regular"/>
          <w:szCs w:val="22"/>
        </w:rPr>
        <w:t>C</w:t>
      </w:r>
      <w:r w:rsidR="00305C6B" w:rsidRPr="00FB0F8B">
        <w:rPr>
          <w:rFonts w:ascii="Exo Regular" w:hAnsi="Exo Regular"/>
          <w:szCs w:val="22"/>
        </w:rPr>
        <w:t xml:space="preserve">lauses </w:t>
      </w:r>
      <w:r w:rsidR="008F19C7" w:rsidRPr="00FB0F8B">
        <w:rPr>
          <w:rFonts w:ascii="Exo Regular" w:hAnsi="Exo Regular"/>
          <w:szCs w:val="22"/>
        </w:rPr>
        <w:t>T</w:t>
      </w:r>
      <w:r w:rsidR="005E66B7" w:rsidRPr="00FB0F8B">
        <w:rPr>
          <w:rFonts w:ascii="Exo Regular" w:hAnsi="Exo Regular"/>
          <w:szCs w:val="22"/>
        </w:rPr>
        <w:t xml:space="preserve">echniques </w:t>
      </w:r>
      <w:r w:rsidR="008F19C7" w:rsidRPr="00FB0F8B">
        <w:rPr>
          <w:rFonts w:ascii="Exo Regular" w:hAnsi="Exo Regular"/>
          <w:szCs w:val="22"/>
        </w:rPr>
        <w:t>P</w:t>
      </w:r>
      <w:r w:rsidR="00992170" w:rsidRPr="00FB0F8B">
        <w:rPr>
          <w:rFonts w:ascii="Exo Regular" w:hAnsi="Exo Regular"/>
          <w:szCs w:val="22"/>
        </w:rPr>
        <w:t>articulières (CCTP)</w:t>
      </w:r>
      <w:r w:rsidR="00A40192">
        <w:rPr>
          <w:rFonts w:ascii="Exo Regular" w:hAnsi="Exo Regular"/>
          <w:szCs w:val="22"/>
          <w:lang w:val="fr-FR"/>
        </w:rPr>
        <w:t xml:space="preserve">, </w:t>
      </w:r>
      <w:r w:rsidR="00A26950" w:rsidRPr="00FB0F8B">
        <w:rPr>
          <w:rFonts w:ascii="Exo Regular" w:hAnsi="Exo Regular"/>
          <w:szCs w:val="22"/>
        </w:rPr>
        <w:t xml:space="preserve">dont l’original conservé dans les archives du </w:t>
      </w:r>
      <w:r w:rsidR="00F912A0">
        <w:rPr>
          <w:rFonts w:ascii="Exo Regular" w:hAnsi="Exo Regular"/>
          <w:szCs w:val="22"/>
          <w:lang w:val="fr-FR"/>
        </w:rPr>
        <w:t>souscripteur</w:t>
      </w:r>
      <w:r w:rsidR="00A26950" w:rsidRPr="00FB0F8B">
        <w:rPr>
          <w:rFonts w:ascii="Exo Regular" w:hAnsi="Exo Regular"/>
          <w:szCs w:val="22"/>
        </w:rPr>
        <w:t xml:space="preserve"> fait seul foi ; </w:t>
      </w:r>
    </w:p>
    <w:p w14:paraId="1A7A3444" w14:textId="77777777" w:rsidR="00A26950" w:rsidRPr="00FB0F8B" w:rsidRDefault="00A26950" w:rsidP="009B68C5">
      <w:pPr>
        <w:pStyle w:val="Corpsdetexte"/>
        <w:spacing w:after="0"/>
        <w:jc w:val="both"/>
        <w:rPr>
          <w:rFonts w:ascii="Exo Regular" w:hAnsi="Exo Regular"/>
          <w:szCs w:val="22"/>
        </w:rPr>
      </w:pPr>
    </w:p>
    <w:p w14:paraId="5D33E0D4" w14:textId="77777777" w:rsidR="00A26950" w:rsidRPr="00FB0F8B" w:rsidRDefault="00A26950" w:rsidP="009B68C5">
      <w:pPr>
        <w:pStyle w:val="Corpsdetexte"/>
        <w:numPr>
          <w:ilvl w:val="0"/>
          <w:numId w:val="17"/>
        </w:numPr>
        <w:spacing w:after="0"/>
        <w:jc w:val="both"/>
        <w:rPr>
          <w:rFonts w:ascii="Exo Regular" w:hAnsi="Exo Regular"/>
          <w:szCs w:val="22"/>
        </w:rPr>
      </w:pPr>
      <w:r w:rsidRPr="00FB0F8B">
        <w:rPr>
          <w:rFonts w:ascii="Exo Regular" w:hAnsi="Exo Regular"/>
          <w:szCs w:val="22"/>
        </w:rPr>
        <w:t>Les conditions générales et conventions spéciales de l’Assureur éventuellement jointes</w:t>
      </w:r>
      <w:r w:rsidR="008F19C7" w:rsidRPr="00FB0F8B">
        <w:rPr>
          <w:rFonts w:ascii="Exo Regular" w:hAnsi="Exo Regular"/>
          <w:szCs w:val="22"/>
        </w:rPr>
        <w:t xml:space="preserve"> </w:t>
      </w:r>
      <w:r w:rsidRPr="00FB0F8B">
        <w:rPr>
          <w:rFonts w:ascii="Exo Regular" w:hAnsi="Exo Regular"/>
          <w:szCs w:val="22"/>
        </w:rPr>
        <w:t>;</w:t>
      </w:r>
    </w:p>
    <w:p w14:paraId="2A451F56" w14:textId="77777777" w:rsidR="00A26950" w:rsidRPr="00FB0F8B" w:rsidRDefault="00A26950" w:rsidP="009B68C5">
      <w:pPr>
        <w:pStyle w:val="Corpsdetexte"/>
        <w:spacing w:after="0"/>
        <w:jc w:val="both"/>
        <w:rPr>
          <w:rFonts w:ascii="Exo Regular" w:hAnsi="Exo Regular"/>
          <w:szCs w:val="22"/>
        </w:rPr>
      </w:pPr>
    </w:p>
    <w:p w14:paraId="38D00135" w14:textId="77777777" w:rsidR="00A26950" w:rsidRPr="00FB0F8B" w:rsidRDefault="00A26950" w:rsidP="009B68C5">
      <w:pPr>
        <w:pStyle w:val="Corpsdetexte"/>
        <w:numPr>
          <w:ilvl w:val="0"/>
          <w:numId w:val="17"/>
        </w:numPr>
        <w:spacing w:after="0"/>
        <w:jc w:val="both"/>
        <w:rPr>
          <w:rFonts w:ascii="Exo Regular" w:hAnsi="Exo Regular"/>
          <w:szCs w:val="22"/>
        </w:rPr>
      </w:pPr>
      <w:r w:rsidRPr="00FB0F8B">
        <w:rPr>
          <w:rFonts w:ascii="Exo Regular" w:hAnsi="Exo Regular"/>
          <w:szCs w:val="22"/>
        </w:rPr>
        <w:t xml:space="preserve">Le mémoire technique </w:t>
      </w:r>
      <w:r w:rsidR="008F19C7" w:rsidRPr="00FB0F8B">
        <w:rPr>
          <w:rFonts w:ascii="Exo Regular" w:hAnsi="Exo Regular"/>
          <w:szCs w:val="22"/>
        </w:rPr>
        <w:t>établi par les candidats</w:t>
      </w:r>
      <w:r w:rsidRPr="00FB0F8B">
        <w:rPr>
          <w:rFonts w:ascii="Exo Regular" w:hAnsi="Exo Regular"/>
          <w:szCs w:val="22"/>
        </w:rPr>
        <w:t xml:space="preserve">. </w:t>
      </w:r>
    </w:p>
    <w:p w14:paraId="1ECB155D" w14:textId="77777777" w:rsidR="006C406F" w:rsidRDefault="006C406F" w:rsidP="00304B90">
      <w:pPr>
        <w:rPr>
          <w:szCs w:val="22"/>
        </w:rPr>
      </w:pPr>
    </w:p>
    <w:p w14:paraId="6FFF52B8" w14:textId="77777777" w:rsidR="00F912A0" w:rsidRDefault="00F912A0" w:rsidP="00304B90"/>
    <w:p w14:paraId="3115570E" w14:textId="77777777" w:rsidR="008D39A5" w:rsidRDefault="008D39A5" w:rsidP="00304B90"/>
    <w:p w14:paraId="1AB97174" w14:textId="77777777" w:rsidR="000811DA" w:rsidRPr="00C239E2" w:rsidRDefault="000811DA" w:rsidP="007341A5">
      <w:pPr>
        <w:pStyle w:val="Titre1"/>
      </w:pPr>
      <w:bookmarkStart w:id="11" w:name="_Toc25054616"/>
      <w:r w:rsidRPr="00C239E2">
        <w:lastRenderedPageBreak/>
        <w:t>Article 3 : Délais d’exécution</w:t>
      </w:r>
      <w:bookmarkEnd w:id="11"/>
      <w:r w:rsidRPr="00C239E2">
        <w:t xml:space="preserve"> </w:t>
      </w:r>
    </w:p>
    <w:p w14:paraId="57423FEA" w14:textId="77777777" w:rsidR="00456A11" w:rsidRDefault="00456A11" w:rsidP="00C239E2">
      <w:pPr>
        <w:keepNext/>
        <w:outlineLvl w:val="1"/>
        <w:rPr>
          <w:rFonts w:cs="Arial"/>
          <w:i/>
          <w:szCs w:val="22"/>
          <w:u w:val="single"/>
        </w:rPr>
      </w:pPr>
    </w:p>
    <w:p w14:paraId="239AC682" w14:textId="77777777" w:rsidR="000811DA" w:rsidRPr="00C239E2" w:rsidRDefault="000811DA" w:rsidP="00C239E2">
      <w:pPr>
        <w:keepNext/>
        <w:outlineLvl w:val="1"/>
        <w:rPr>
          <w:rFonts w:cs="Arial"/>
          <w:i/>
          <w:szCs w:val="22"/>
          <w:u w:val="single"/>
        </w:rPr>
      </w:pPr>
      <w:bookmarkStart w:id="12" w:name="_Toc25054617"/>
      <w:r w:rsidRPr="00C239E2">
        <w:rPr>
          <w:rFonts w:cs="Arial"/>
          <w:i/>
          <w:szCs w:val="22"/>
          <w:u w:val="single"/>
        </w:rPr>
        <w:t xml:space="preserve">3.1 </w:t>
      </w:r>
      <w:r w:rsidR="00FF5783" w:rsidRPr="00C239E2">
        <w:rPr>
          <w:rFonts w:cs="Arial"/>
          <w:i/>
          <w:szCs w:val="22"/>
          <w:u w:val="single"/>
        </w:rPr>
        <w:t>–</w:t>
      </w:r>
      <w:r w:rsidRPr="00C239E2">
        <w:rPr>
          <w:rFonts w:cs="Arial"/>
          <w:i/>
          <w:szCs w:val="22"/>
          <w:u w:val="single"/>
        </w:rPr>
        <w:t xml:space="preserve"> Délais de base</w:t>
      </w:r>
      <w:bookmarkEnd w:id="12"/>
    </w:p>
    <w:p w14:paraId="03BE1C2F" w14:textId="77777777" w:rsidR="000811DA" w:rsidRDefault="000811DA" w:rsidP="00C239E2">
      <w:pPr>
        <w:keepLines/>
        <w:tabs>
          <w:tab w:val="left" w:pos="567"/>
          <w:tab w:val="left" w:pos="851"/>
          <w:tab w:val="left" w:pos="1134"/>
        </w:tabs>
        <w:jc w:val="both"/>
        <w:rPr>
          <w:rFonts w:cs="Arial"/>
          <w:noProof/>
          <w:szCs w:val="22"/>
        </w:rPr>
      </w:pPr>
      <w:r w:rsidRPr="009B68C5">
        <w:rPr>
          <w:rFonts w:cs="Arial"/>
          <w:noProof/>
          <w:szCs w:val="22"/>
        </w:rPr>
        <w:t>L</w:t>
      </w:r>
      <w:r w:rsidR="009B68C5" w:rsidRPr="009B68C5">
        <w:rPr>
          <w:rFonts w:cs="Arial"/>
          <w:noProof/>
          <w:szCs w:val="22"/>
        </w:rPr>
        <w:t>e</w:t>
      </w:r>
      <w:r w:rsidRPr="009B68C5">
        <w:rPr>
          <w:rFonts w:cs="Arial"/>
          <w:noProof/>
          <w:szCs w:val="22"/>
        </w:rPr>
        <w:t xml:space="preserve"> délai d’exécution </w:t>
      </w:r>
      <w:r w:rsidR="008F19C7" w:rsidRPr="009B68C5">
        <w:rPr>
          <w:rFonts w:cs="Arial"/>
          <w:noProof/>
          <w:szCs w:val="22"/>
        </w:rPr>
        <w:t xml:space="preserve">du marché est indiqué </w:t>
      </w:r>
      <w:r w:rsidR="00F912A0">
        <w:rPr>
          <w:rFonts w:cs="Arial"/>
          <w:noProof/>
          <w:szCs w:val="22"/>
        </w:rPr>
        <w:t xml:space="preserve">au règlement de consultation, au CCAP et au sein de chaque acte d’engagement. </w:t>
      </w:r>
    </w:p>
    <w:p w14:paraId="2F4BD7F8" w14:textId="77777777" w:rsidR="0077121C" w:rsidRDefault="0077121C" w:rsidP="00C239E2">
      <w:pPr>
        <w:keepLines/>
        <w:tabs>
          <w:tab w:val="left" w:pos="567"/>
          <w:tab w:val="left" w:pos="851"/>
          <w:tab w:val="left" w:pos="1134"/>
        </w:tabs>
        <w:jc w:val="both"/>
        <w:rPr>
          <w:rFonts w:cs="Arial"/>
          <w:noProof/>
          <w:szCs w:val="22"/>
        </w:rPr>
      </w:pPr>
    </w:p>
    <w:p w14:paraId="0BA914F9" w14:textId="77777777" w:rsidR="00305C6B" w:rsidRDefault="000811DA" w:rsidP="007341A5">
      <w:pPr>
        <w:pStyle w:val="Titre1"/>
      </w:pPr>
      <w:bookmarkStart w:id="13" w:name="_Toc25054618"/>
      <w:r w:rsidRPr="00C239E2">
        <w:t>Ar</w:t>
      </w:r>
      <w:r w:rsidR="00A26950">
        <w:t>ticle 4</w:t>
      </w:r>
      <w:r w:rsidRPr="00C239E2">
        <w:t xml:space="preserve"> : </w:t>
      </w:r>
      <w:r w:rsidR="00006B65" w:rsidRPr="00C239E2">
        <w:t>Obligations de confidentialité</w:t>
      </w:r>
      <w:bookmarkEnd w:id="13"/>
      <w:r w:rsidR="00E30208" w:rsidRPr="00C239E2">
        <w:t xml:space="preserve"> </w:t>
      </w:r>
      <w:bookmarkStart w:id="14" w:name="_Toc424146779"/>
      <w:bookmarkStart w:id="15" w:name="_Toc424146833"/>
    </w:p>
    <w:p w14:paraId="709639B2" w14:textId="77777777" w:rsidR="00305C6B" w:rsidRDefault="00305C6B" w:rsidP="007341A5">
      <w:pPr>
        <w:pStyle w:val="Titre1"/>
      </w:pPr>
    </w:p>
    <w:bookmarkEnd w:id="14"/>
    <w:bookmarkEnd w:id="15"/>
    <w:p w14:paraId="4E304611" w14:textId="77777777" w:rsidR="000B46F3" w:rsidRPr="00FB0F8B" w:rsidRDefault="000B46F3" w:rsidP="000B46F3">
      <w:pPr>
        <w:pStyle w:val="Retraitcorpsdetexte"/>
        <w:spacing w:after="0"/>
        <w:ind w:left="0"/>
        <w:jc w:val="both"/>
        <w:rPr>
          <w:rFonts w:ascii="Exo Regular" w:hAnsi="Exo Regular"/>
          <w:szCs w:val="22"/>
        </w:rPr>
      </w:pPr>
      <w:r w:rsidRPr="00FB0F8B">
        <w:rPr>
          <w:rFonts w:ascii="Exo Regular" w:hAnsi="Exo Regular"/>
          <w:szCs w:val="22"/>
        </w:rPr>
        <w:t>Le titulaire est tenu, ainsi que l’ensemble de son personnel et, le cas échéant ses fournisseurs, au secret professionnel et à l’obligation de discrétion pour tout ce qui concerne les faits, informations, études et décisions dont il a ou aura connaissance durant l’exécution du marché. Il s’interdit, notamment, toute communication écrite ou verbale sur ces sujets et toute remise de documents à des tiers sans l’accord préalable</w:t>
      </w:r>
      <w:r w:rsidR="00886B49" w:rsidRPr="00FB0F8B">
        <w:rPr>
          <w:rFonts w:ascii="Exo Regular" w:hAnsi="Exo Regular"/>
          <w:szCs w:val="22"/>
        </w:rPr>
        <w:t xml:space="preserve"> de </w:t>
      </w:r>
      <w:r w:rsidR="00A40192">
        <w:rPr>
          <w:rFonts w:ascii="Exo Regular" w:hAnsi="Exo Regular"/>
          <w:szCs w:val="22"/>
          <w:lang w:val="fr-FR"/>
        </w:rPr>
        <w:t>l</w:t>
      </w:r>
      <w:r w:rsidR="00F912A0">
        <w:rPr>
          <w:rFonts w:ascii="Exo Regular" w:hAnsi="Exo Regular"/>
          <w:szCs w:val="22"/>
          <w:lang w:val="fr-FR"/>
        </w:rPr>
        <w:t xml:space="preserve">’Institut. </w:t>
      </w:r>
    </w:p>
    <w:p w14:paraId="2CFCE34D" w14:textId="77777777" w:rsidR="00886B49" w:rsidRPr="00FB0F8B" w:rsidRDefault="00886B49" w:rsidP="000B46F3">
      <w:pPr>
        <w:pStyle w:val="Retraitcorpsdetexte"/>
        <w:spacing w:after="0"/>
        <w:ind w:left="0"/>
        <w:jc w:val="both"/>
        <w:rPr>
          <w:rFonts w:ascii="Exo Regular" w:hAnsi="Exo Regular"/>
          <w:szCs w:val="22"/>
        </w:rPr>
      </w:pPr>
    </w:p>
    <w:p w14:paraId="7CA8D4BD" w14:textId="77777777" w:rsidR="000B46F3" w:rsidRPr="00FB0F8B" w:rsidRDefault="000B46F3" w:rsidP="000B46F3">
      <w:pPr>
        <w:pStyle w:val="Retraitcorpsdetexte"/>
        <w:spacing w:after="0"/>
        <w:ind w:left="0"/>
        <w:jc w:val="both"/>
        <w:rPr>
          <w:rFonts w:ascii="Exo Regular" w:hAnsi="Exo Regular"/>
          <w:szCs w:val="22"/>
        </w:rPr>
      </w:pPr>
      <w:r w:rsidRPr="00FB0F8B">
        <w:rPr>
          <w:rFonts w:ascii="Exo Regular" w:hAnsi="Exo Regular"/>
          <w:szCs w:val="22"/>
        </w:rPr>
        <w:t>Le titulaire se porte garant du fait que ses personnels sont astreints aux présentes obligations de confidentialité.</w:t>
      </w:r>
    </w:p>
    <w:p w14:paraId="73F659B5" w14:textId="77777777" w:rsidR="003B54E3" w:rsidRPr="00C976F6" w:rsidRDefault="003B54E3" w:rsidP="000B46F3">
      <w:pPr>
        <w:pStyle w:val="Retraitcorpsdetexte"/>
        <w:spacing w:after="0"/>
        <w:ind w:left="0"/>
        <w:jc w:val="both"/>
        <w:rPr>
          <w:szCs w:val="22"/>
        </w:rPr>
      </w:pPr>
    </w:p>
    <w:p w14:paraId="4CDC691E" w14:textId="77777777" w:rsidR="00C976F6" w:rsidRPr="00304B90" w:rsidRDefault="00C976F6" w:rsidP="007341A5">
      <w:pPr>
        <w:pStyle w:val="Titre1"/>
        <w:rPr>
          <w:sz w:val="22"/>
        </w:rPr>
      </w:pPr>
      <w:bookmarkStart w:id="16" w:name="_Toc216168251"/>
      <w:bookmarkStart w:id="17" w:name="_Toc227637610"/>
    </w:p>
    <w:p w14:paraId="3EB9812F" w14:textId="77777777" w:rsidR="00C976F6" w:rsidRPr="00C239E2" w:rsidRDefault="00C976F6" w:rsidP="007341A5">
      <w:pPr>
        <w:pStyle w:val="Titre1"/>
      </w:pPr>
      <w:bookmarkStart w:id="18" w:name="_Toc25054619"/>
      <w:r>
        <w:t xml:space="preserve">Article </w:t>
      </w:r>
      <w:r w:rsidR="00F912A0">
        <w:rPr>
          <w:lang w:val="fr-FR"/>
        </w:rPr>
        <w:t>5</w:t>
      </w:r>
      <w:r w:rsidRPr="00C239E2">
        <w:t xml:space="preserve"> : </w:t>
      </w:r>
      <w:r>
        <w:t>Equipe dédiée</w:t>
      </w:r>
      <w:bookmarkEnd w:id="18"/>
      <w:r>
        <w:t xml:space="preserve"> </w:t>
      </w:r>
    </w:p>
    <w:p w14:paraId="6D9DC761" w14:textId="77777777" w:rsidR="00C976F6" w:rsidRPr="00C976F6" w:rsidRDefault="00C976F6" w:rsidP="00C976F6">
      <w:pPr>
        <w:jc w:val="both"/>
      </w:pPr>
    </w:p>
    <w:p w14:paraId="58F6D63D" w14:textId="77777777" w:rsidR="00C976F6" w:rsidRPr="00C976F6" w:rsidRDefault="00C976F6" w:rsidP="00C976F6">
      <w:pPr>
        <w:jc w:val="both"/>
      </w:pPr>
      <w:r w:rsidRPr="00C976F6">
        <w:t>Le titulaire du marché s’engage à maintenir l’équipe présentée dans le mémoire remis à l’appui de son offre.</w:t>
      </w:r>
    </w:p>
    <w:p w14:paraId="1085C1B2" w14:textId="77777777" w:rsidR="00C976F6" w:rsidRPr="00C976F6" w:rsidRDefault="00C976F6" w:rsidP="00C976F6">
      <w:pPr>
        <w:jc w:val="both"/>
      </w:pPr>
      <w:r w:rsidRPr="00C976F6">
        <w:t xml:space="preserve"> </w:t>
      </w:r>
    </w:p>
    <w:p w14:paraId="766493D7" w14:textId="77777777" w:rsidR="00C976F6" w:rsidRPr="00C976F6" w:rsidRDefault="00C976F6" w:rsidP="00C976F6">
      <w:pPr>
        <w:jc w:val="both"/>
      </w:pPr>
      <w:r w:rsidRPr="00C976F6">
        <w:t xml:space="preserve">Si une personne n’est plus en mesure de remplir sa mission, en cours d’exécution, </w:t>
      </w:r>
      <w:r w:rsidRPr="00C976F6">
        <w:rPr>
          <w:b/>
        </w:rPr>
        <w:t>le titulaire</w:t>
      </w:r>
      <w:r>
        <w:rPr>
          <w:b/>
        </w:rPr>
        <w:t xml:space="preserve"> </w:t>
      </w:r>
      <w:r w:rsidR="00886B49">
        <w:rPr>
          <w:b/>
        </w:rPr>
        <w:t xml:space="preserve">doit en aviser immédiatement </w:t>
      </w:r>
      <w:r w:rsidR="00A40192">
        <w:rPr>
          <w:b/>
        </w:rPr>
        <w:t>l</w:t>
      </w:r>
      <w:r w:rsidR="00F912A0">
        <w:rPr>
          <w:b/>
        </w:rPr>
        <w:t>’Institut</w:t>
      </w:r>
      <w:r w:rsidR="007A5DBA">
        <w:t xml:space="preserve">, </w:t>
      </w:r>
      <w:r w:rsidR="00A94F61" w:rsidRPr="009B68C5">
        <w:t xml:space="preserve">et </w:t>
      </w:r>
      <w:r w:rsidR="007A5DBA" w:rsidRPr="009B68C5">
        <w:t>veille</w:t>
      </w:r>
      <w:r w:rsidR="00A94F61" w:rsidRPr="009B68C5">
        <w:t>r</w:t>
      </w:r>
      <w:r w:rsidRPr="00C976F6">
        <w:t xml:space="preserve"> à la remplacer dans les conditions ci-dessous et prendre toutes les dispositions nécessaires pour que la bonne exécution des prestations ne s’en trouve pas compromise.</w:t>
      </w:r>
    </w:p>
    <w:p w14:paraId="0B889891" w14:textId="77777777" w:rsidR="00C976F6" w:rsidRPr="00C976F6" w:rsidRDefault="00C976F6" w:rsidP="00C976F6">
      <w:pPr>
        <w:jc w:val="both"/>
      </w:pPr>
    </w:p>
    <w:p w14:paraId="1251B717" w14:textId="77777777" w:rsidR="00C976F6" w:rsidRPr="00C976F6" w:rsidRDefault="00C976F6" w:rsidP="00C976F6">
      <w:pPr>
        <w:jc w:val="both"/>
      </w:pPr>
      <w:r w:rsidRPr="00C976F6">
        <w:t>A ce titre, il doit désigner un remplaçant et en communiquer</w:t>
      </w:r>
      <w:r w:rsidR="00886B49">
        <w:t xml:space="preserve"> le nom et les qualifications à l</w:t>
      </w:r>
      <w:r w:rsidR="003023C9">
        <w:t>’Institut</w:t>
      </w:r>
      <w:r w:rsidR="00886B49">
        <w:t xml:space="preserve"> </w:t>
      </w:r>
      <w:r w:rsidRPr="00C976F6">
        <w:t xml:space="preserve">dans un délai de </w:t>
      </w:r>
      <w:r w:rsidRPr="00C976F6">
        <w:rPr>
          <w:b/>
        </w:rPr>
        <w:t>15 jours à compter de la date d’envoi de l’avis dont il est fait mention à l’alinéa précédent</w:t>
      </w:r>
      <w:r w:rsidRPr="00C976F6">
        <w:t>. Le remplaçant es</w:t>
      </w:r>
      <w:r>
        <w:t>t considéré comme accepté si</w:t>
      </w:r>
      <w:r w:rsidR="006D2B6F">
        <w:t xml:space="preserve"> </w:t>
      </w:r>
      <w:r w:rsidR="005D08EE">
        <w:t>l</w:t>
      </w:r>
      <w:r w:rsidR="00F912A0">
        <w:t>’Institut</w:t>
      </w:r>
      <w:r>
        <w:t xml:space="preserve"> </w:t>
      </w:r>
      <w:r w:rsidRPr="00C976F6">
        <w:t>ne le récuse pas dans un délai de 15 jours à compter de la réception de la communication mention</w:t>
      </w:r>
      <w:r>
        <w:t xml:space="preserve">née à l’alinéa précédent. Si </w:t>
      </w:r>
      <w:r w:rsidR="005D08EE">
        <w:t>l</w:t>
      </w:r>
      <w:r w:rsidR="00F912A0">
        <w:t>’Institut</w:t>
      </w:r>
      <w:r w:rsidR="007112D0">
        <w:t xml:space="preserve"> </w:t>
      </w:r>
      <w:r w:rsidRPr="00C976F6">
        <w:t>récuse le remplaçant, le titulaire dispose de 15 jours pour désigner un autre rempla</w:t>
      </w:r>
      <w:r>
        <w:t xml:space="preserve">çant et en </w:t>
      </w:r>
      <w:r w:rsidR="007112D0">
        <w:t>l’informer</w:t>
      </w:r>
      <w:r w:rsidRPr="00C976F6">
        <w:t xml:space="preserve">. A défaut de désignation, ou si ce remplaçant est récusé dans le délai de 15 jours indiqué ci-dessus, le marché est résilié dans les conditions prévues par l’article </w:t>
      </w:r>
      <w:r w:rsidR="000B46F3">
        <w:t>1</w:t>
      </w:r>
      <w:r w:rsidR="00941A22">
        <w:t>2</w:t>
      </w:r>
      <w:r w:rsidRPr="00C976F6">
        <w:t xml:space="preserve"> du présent CCAP.</w:t>
      </w:r>
    </w:p>
    <w:p w14:paraId="63E99A9C" w14:textId="77777777" w:rsidR="00C976F6" w:rsidRPr="00C976F6" w:rsidRDefault="00C976F6" w:rsidP="00C976F6">
      <w:pPr>
        <w:jc w:val="both"/>
      </w:pPr>
    </w:p>
    <w:p w14:paraId="13DD47CA" w14:textId="77777777" w:rsidR="00C976F6" w:rsidRPr="00C976F6" w:rsidRDefault="00C976F6" w:rsidP="00C976F6">
      <w:pPr>
        <w:jc w:val="both"/>
      </w:pPr>
      <w:r w:rsidRPr="00C976F6">
        <w:t xml:space="preserve">Lorsque </w:t>
      </w:r>
      <w:r>
        <w:t>le changement est accepté par</w:t>
      </w:r>
      <w:r w:rsidR="006D2B6F">
        <w:t xml:space="preserve"> </w:t>
      </w:r>
      <w:r w:rsidR="005D08EE">
        <w:t>l</w:t>
      </w:r>
      <w:r w:rsidR="00F912A0">
        <w:t>’Institut</w:t>
      </w:r>
      <w:r w:rsidRPr="00C976F6">
        <w:t>, la période minimale de recouvrement, pendant laquelle le partant communique à son successeur toutes les informations relatives au marché est fixée à :</w:t>
      </w:r>
    </w:p>
    <w:p w14:paraId="2B17C030" w14:textId="77777777" w:rsidR="00C976F6" w:rsidRPr="00C976F6" w:rsidRDefault="00C976F6" w:rsidP="00C976F6">
      <w:pPr>
        <w:numPr>
          <w:ilvl w:val="0"/>
          <w:numId w:val="30"/>
        </w:numPr>
        <w:jc w:val="both"/>
      </w:pPr>
      <w:proofErr w:type="gramStart"/>
      <w:r w:rsidRPr="00C976F6">
        <w:t>dix</w:t>
      </w:r>
      <w:proofErr w:type="gramEnd"/>
      <w:r w:rsidRPr="00C976F6">
        <w:t xml:space="preserve"> (10) jours minimum à compter de l’acceptation du remplaçant.</w:t>
      </w:r>
    </w:p>
    <w:p w14:paraId="4934C6EE" w14:textId="77777777" w:rsidR="00304B90" w:rsidRPr="00C239E2" w:rsidRDefault="00304B90" w:rsidP="00C239E2">
      <w:pPr>
        <w:rPr>
          <w:szCs w:val="22"/>
        </w:rPr>
      </w:pPr>
    </w:p>
    <w:p w14:paraId="08C07BF8" w14:textId="77777777" w:rsidR="00C863D7" w:rsidRPr="00C239E2" w:rsidRDefault="00885D32" w:rsidP="007341A5">
      <w:pPr>
        <w:pStyle w:val="Titre1"/>
      </w:pPr>
      <w:bookmarkStart w:id="19" w:name="_Toc25054620"/>
      <w:r>
        <w:t xml:space="preserve">Article </w:t>
      </w:r>
      <w:r w:rsidR="005A7527">
        <w:rPr>
          <w:lang w:val="fr-FR"/>
        </w:rPr>
        <w:t>6</w:t>
      </w:r>
      <w:r w:rsidR="000811DA" w:rsidRPr="00C239E2">
        <w:t> : Prix du marché</w:t>
      </w:r>
      <w:bookmarkEnd w:id="16"/>
      <w:bookmarkEnd w:id="17"/>
      <w:bookmarkEnd w:id="19"/>
    </w:p>
    <w:p w14:paraId="5B6094F6" w14:textId="77777777" w:rsidR="00885D32" w:rsidRDefault="00885D32" w:rsidP="00C239E2">
      <w:pPr>
        <w:jc w:val="both"/>
        <w:rPr>
          <w:rFonts w:cs="Arial"/>
          <w:szCs w:val="22"/>
        </w:rPr>
      </w:pPr>
    </w:p>
    <w:p w14:paraId="233F803A" w14:textId="77777777" w:rsidR="00C976F6" w:rsidRPr="00C976F6" w:rsidRDefault="00C976F6" w:rsidP="00C976F6">
      <w:pPr>
        <w:jc w:val="both"/>
      </w:pPr>
      <w:bookmarkStart w:id="20" w:name="_Toc216168252"/>
      <w:bookmarkStart w:id="21" w:name="_Toc227637611"/>
      <w:r w:rsidRPr="00C976F6">
        <w:t>Les prix sont réputés comprendre toutes les charges fiscales, parafiscales ou autres frappant obligatoirement la prestation et assurer au prestataire une marge pour risques et bénéfice. Ils sont réputés complets. Ils comprennent toutes les prestations nécessaires à la bonne mise en œuvre du marché.</w:t>
      </w:r>
    </w:p>
    <w:p w14:paraId="56270943" w14:textId="77777777" w:rsidR="00C976F6" w:rsidRPr="00C976F6" w:rsidRDefault="00C976F6" w:rsidP="00C976F6">
      <w:pPr>
        <w:jc w:val="both"/>
      </w:pPr>
    </w:p>
    <w:p w14:paraId="329B212A" w14:textId="77777777" w:rsidR="00C976F6" w:rsidRPr="00C976F6" w:rsidRDefault="00C976F6" w:rsidP="00C976F6">
      <w:pPr>
        <w:jc w:val="both"/>
      </w:pPr>
      <w:r w:rsidRPr="00C976F6">
        <w:lastRenderedPageBreak/>
        <w:t>Par ailleurs, les prix couvriront l’ensemble des frais et charges occasionnés par la mission et, notamment, les frais de déplacement et de séjour, ainsi que tous les frais généraux et fiscaux, et l’ensemble des prestations informatiques et de remise des documents sur support papier et informatique.</w:t>
      </w:r>
    </w:p>
    <w:p w14:paraId="0454093A" w14:textId="77777777" w:rsidR="00C976F6" w:rsidRPr="00082AE2" w:rsidRDefault="00C976F6" w:rsidP="00C976F6">
      <w:pPr>
        <w:jc w:val="both"/>
        <w:rPr>
          <w:rFonts w:ascii="Arial Narrow" w:hAnsi="Arial Narrow"/>
        </w:rPr>
      </w:pPr>
    </w:p>
    <w:p w14:paraId="26F295B1" w14:textId="77777777" w:rsidR="000811DA" w:rsidRPr="00C239E2" w:rsidRDefault="005A7527" w:rsidP="00C239E2">
      <w:pPr>
        <w:keepNext/>
        <w:outlineLvl w:val="1"/>
        <w:rPr>
          <w:rFonts w:cs="Arial"/>
          <w:i/>
          <w:szCs w:val="22"/>
          <w:u w:val="single"/>
        </w:rPr>
      </w:pPr>
      <w:bookmarkStart w:id="22" w:name="_Toc25054621"/>
      <w:r>
        <w:rPr>
          <w:rFonts w:cs="Arial"/>
          <w:i/>
          <w:szCs w:val="22"/>
          <w:u w:val="single"/>
        </w:rPr>
        <w:t>6</w:t>
      </w:r>
      <w:r w:rsidR="000811DA" w:rsidRPr="00C239E2">
        <w:rPr>
          <w:rFonts w:cs="Arial"/>
          <w:i/>
          <w:szCs w:val="22"/>
          <w:u w:val="single"/>
        </w:rPr>
        <w:t xml:space="preserve">.1 </w:t>
      </w:r>
      <w:r w:rsidR="00FF5783" w:rsidRPr="00C239E2">
        <w:rPr>
          <w:rFonts w:cs="Arial"/>
          <w:i/>
          <w:szCs w:val="22"/>
          <w:u w:val="single"/>
        </w:rPr>
        <w:t>–</w:t>
      </w:r>
      <w:r w:rsidR="000811DA" w:rsidRPr="00C239E2">
        <w:rPr>
          <w:rFonts w:cs="Arial"/>
          <w:i/>
          <w:szCs w:val="22"/>
          <w:u w:val="single"/>
        </w:rPr>
        <w:t xml:space="preserve"> Caractéristiques des prix pratiqués</w:t>
      </w:r>
      <w:bookmarkEnd w:id="20"/>
      <w:bookmarkEnd w:id="21"/>
      <w:bookmarkEnd w:id="22"/>
    </w:p>
    <w:p w14:paraId="436573CD" w14:textId="77777777" w:rsidR="000811DA" w:rsidRDefault="000811DA" w:rsidP="00C239E2">
      <w:pPr>
        <w:keepLines/>
        <w:tabs>
          <w:tab w:val="left" w:pos="284"/>
          <w:tab w:val="left" w:pos="567"/>
          <w:tab w:val="left" w:pos="851"/>
        </w:tabs>
        <w:jc w:val="both"/>
        <w:rPr>
          <w:kern w:val="28"/>
          <w:szCs w:val="22"/>
        </w:rPr>
      </w:pPr>
      <w:r w:rsidRPr="00C239E2">
        <w:rPr>
          <w:rFonts w:cs="Arial"/>
          <w:noProof/>
          <w:szCs w:val="22"/>
        </w:rPr>
        <w:t>Le</w:t>
      </w:r>
      <w:r w:rsidR="00992170">
        <w:rPr>
          <w:rFonts w:cs="Arial"/>
          <w:noProof/>
          <w:szCs w:val="22"/>
        </w:rPr>
        <w:t xml:space="preserve">s prestations </w:t>
      </w:r>
      <w:r w:rsidRPr="00C239E2">
        <w:rPr>
          <w:rFonts w:cs="Arial"/>
          <w:noProof/>
          <w:szCs w:val="22"/>
        </w:rPr>
        <w:t>seront réglées par application d’un prix global et forfaitaire d</w:t>
      </w:r>
      <w:r w:rsidR="00885D32">
        <w:rPr>
          <w:rFonts w:cs="Arial"/>
          <w:noProof/>
          <w:szCs w:val="22"/>
        </w:rPr>
        <w:t xml:space="preserve">ont le libellé est donné </w:t>
      </w:r>
      <w:r w:rsidRPr="00C239E2">
        <w:rPr>
          <w:rFonts w:cs="Arial"/>
          <w:noProof/>
          <w:szCs w:val="22"/>
        </w:rPr>
        <w:t>selon les stip</w:t>
      </w:r>
      <w:r w:rsidR="00F06011">
        <w:rPr>
          <w:rFonts w:cs="Arial"/>
          <w:noProof/>
          <w:szCs w:val="22"/>
        </w:rPr>
        <w:t>ulations de l’acte d’engagement</w:t>
      </w:r>
      <w:r w:rsidR="00992170">
        <w:rPr>
          <w:kern w:val="28"/>
          <w:szCs w:val="22"/>
        </w:rPr>
        <w:t>.</w:t>
      </w:r>
    </w:p>
    <w:p w14:paraId="26186AC6" w14:textId="77777777" w:rsidR="003B54E3" w:rsidRDefault="003B54E3" w:rsidP="00C239E2">
      <w:pPr>
        <w:keepLines/>
        <w:tabs>
          <w:tab w:val="left" w:pos="284"/>
          <w:tab w:val="left" w:pos="567"/>
          <w:tab w:val="left" w:pos="851"/>
        </w:tabs>
        <w:jc w:val="both"/>
        <w:rPr>
          <w:kern w:val="28"/>
          <w:szCs w:val="22"/>
        </w:rPr>
      </w:pPr>
    </w:p>
    <w:p w14:paraId="11C4E59B" w14:textId="77777777" w:rsidR="000811DA" w:rsidRPr="00A83A0F" w:rsidRDefault="005A7527" w:rsidP="00C239E2">
      <w:pPr>
        <w:keepNext/>
        <w:outlineLvl w:val="1"/>
        <w:rPr>
          <w:rFonts w:cs="Arial"/>
          <w:i/>
          <w:szCs w:val="22"/>
          <w:u w:val="single"/>
        </w:rPr>
      </w:pPr>
      <w:bookmarkStart w:id="23" w:name="_Toc104695585"/>
      <w:bookmarkStart w:id="24" w:name="_Toc216168253"/>
      <w:bookmarkStart w:id="25" w:name="_Toc227637612"/>
      <w:bookmarkStart w:id="26" w:name="_Toc25054622"/>
      <w:r>
        <w:rPr>
          <w:rFonts w:cs="Arial"/>
          <w:i/>
          <w:szCs w:val="22"/>
          <w:u w:val="single"/>
        </w:rPr>
        <w:t>6</w:t>
      </w:r>
      <w:r w:rsidR="000811DA" w:rsidRPr="00A83A0F">
        <w:rPr>
          <w:rFonts w:cs="Arial"/>
          <w:i/>
          <w:szCs w:val="22"/>
          <w:u w:val="single"/>
        </w:rPr>
        <w:t xml:space="preserve">.2 </w:t>
      </w:r>
      <w:r w:rsidR="00FF5783" w:rsidRPr="00A83A0F">
        <w:rPr>
          <w:rFonts w:cs="Arial"/>
          <w:i/>
          <w:szCs w:val="22"/>
          <w:u w:val="single"/>
        </w:rPr>
        <w:t xml:space="preserve">– </w:t>
      </w:r>
      <w:r w:rsidR="000811DA" w:rsidRPr="00A83A0F">
        <w:rPr>
          <w:rFonts w:cs="Arial"/>
          <w:i/>
          <w:szCs w:val="22"/>
          <w:u w:val="single"/>
        </w:rPr>
        <w:t>Variations dans les prix</w:t>
      </w:r>
      <w:bookmarkEnd w:id="23"/>
      <w:bookmarkEnd w:id="24"/>
      <w:bookmarkEnd w:id="25"/>
      <w:bookmarkEnd w:id="26"/>
    </w:p>
    <w:p w14:paraId="49A91D36" w14:textId="77777777" w:rsidR="00A83A0F" w:rsidRPr="00A83A0F" w:rsidRDefault="005A7527" w:rsidP="00A83A0F">
      <w:pPr>
        <w:jc w:val="both"/>
        <w:rPr>
          <w:b/>
        </w:rPr>
      </w:pPr>
      <w:r>
        <w:rPr>
          <w:b/>
        </w:rPr>
        <w:t>6</w:t>
      </w:r>
      <w:r w:rsidR="00A83A0F" w:rsidRPr="00A83A0F">
        <w:rPr>
          <w:b/>
        </w:rPr>
        <w:t>.2.1 - Mois d’établissement des prix du marché</w:t>
      </w:r>
    </w:p>
    <w:p w14:paraId="77D27967" w14:textId="77777777" w:rsidR="00A83A0F" w:rsidRPr="00A83A0F" w:rsidRDefault="00A83A0F" w:rsidP="00A83A0F">
      <w:pPr>
        <w:jc w:val="both"/>
      </w:pPr>
    </w:p>
    <w:p w14:paraId="60886DFC" w14:textId="77777777" w:rsidR="00A83A0F" w:rsidRPr="00A83A0F" w:rsidRDefault="00A83A0F" w:rsidP="00A83A0F">
      <w:pPr>
        <w:jc w:val="both"/>
      </w:pPr>
      <w:r w:rsidRPr="00A83A0F">
        <w:t>Les prix du présent marché sont réputés établis sur la base des conditions économiques</w:t>
      </w:r>
      <w:r w:rsidR="00AA4B9D">
        <w:t xml:space="preserve"> du mois </w:t>
      </w:r>
      <w:r w:rsidR="000E14F8">
        <w:t>précédent le mois de la réception. Ce</w:t>
      </w:r>
      <w:r w:rsidRPr="00A83A0F">
        <w:t xml:space="preserve"> mois est appelé "mois zéro".</w:t>
      </w:r>
    </w:p>
    <w:p w14:paraId="6CF04944" w14:textId="77777777" w:rsidR="00A83A0F" w:rsidRPr="00A83A0F" w:rsidRDefault="00A83A0F" w:rsidP="00A83A0F">
      <w:pPr>
        <w:jc w:val="both"/>
      </w:pPr>
    </w:p>
    <w:p w14:paraId="5937A50C" w14:textId="77777777" w:rsidR="00A83A0F" w:rsidRPr="00A83A0F" w:rsidRDefault="005A7527" w:rsidP="00A83A0F">
      <w:pPr>
        <w:jc w:val="both"/>
        <w:rPr>
          <w:b/>
          <w:color w:val="4F81BD"/>
        </w:rPr>
      </w:pPr>
      <w:r>
        <w:rPr>
          <w:b/>
        </w:rPr>
        <w:t>6</w:t>
      </w:r>
      <w:r w:rsidR="00304B90">
        <w:rPr>
          <w:b/>
        </w:rPr>
        <w:t>.2</w:t>
      </w:r>
      <w:r w:rsidR="00A83A0F" w:rsidRPr="00A83A0F">
        <w:rPr>
          <w:b/>
        </w:rPr>
        <w:t>.3 - Choix des index de référence (lorsqu’une révision ou une indexation est appliquée)</w:t>
      </w:r>
    </w:p>
    <w:p w14:paraId="46C39434" w14:textId="77777777" w:rsidR="00A83A0F" w:rsidRPr="00A83A0F" w:rsidRDefault="00A83A0F" w:rsidP="00A83A0F">
      <w:pPr>
        <w:jc w:val="both"/>
      </w:pPr>
    </w:p>
    <w:p w14:paraId="5819565F" w14:textId="77777777" w:rsidR="00A83A0F" w:rsidRPr="00A83A0F" w:rsidRDefault="00107744" w:rsidP="00A83A0F">
      <w:pPr>
        <w:jc w:val="both"/>
      </w:pPr>
      <w:r>
        <w:t>Indiqué au cahier des clauses techniques p</w:t>
      </w:r>
      <w:r w:rsidR="00A83A0F" w:rsidRPr="00A83A0F">
        <w:t>articulières (CCTP)</w:t>
      </w:r>
      <w:r w:rsidR="00A40192">
        <w:t>.</w:t>
      </w:r>
    </w:p>
    <w:p w14:paraId="5F135F4A" w14:textId="77777777" w:rsidR="00A83A0F" w:rsidRPr="00A83A0F" w:rsidRDefault="00A83A0F" w:rsidP="00A83A0F">
      <w:pPr>
        <w:jc w:val="both"/>
      </w:pPr>
    </w:p>
    <w:p w14:paraId="053B7F7D" w14:textId="77777777" w:rsidR="00A83A0F" w:rsidRPr="00A83A0F" w:rsidRDefault="005A7527" w:rsidP="00A83A0F">
      <w:pPr>
        <w:jc w:val="both"/>
        <w:rPr>
          <w:b/>
        </w:rPr>
      </w:pPr>
      <w:r>
        <w:rPr>
          <w:b/>
        </w:rPr>
        <w:t>6</w:t>
      </w:r>
      <w:r w:rsidR="00304B90">
        <w:rPr>
          <w:b/>
        </w:rPr>
        <w:t>.2</w:t>
      </w:r>
      <w:r w:rsidR="00A83A0F" w:rsidRPr="00A83A0F">
        <w:rPr>
          <w:b/>
        </w:rPr>
        <w:t>.4 – Clauses de variation des prix</w:t>
      </w:r>
    </w:p>
    <w:p w14:paraId="56969D93" w14:textId="77777777" w:rsidR="005A7527" w:rsidRDefault="005A7527" w:rsidP="00A83A0F">
      <w:pPr>
        <w:jc w:val="both"/>
        <w:rPr>
          <w:b/>
        </w:rPr>
      </w:pPr>
    </w:p>
    <w:p w14:paraId="6B27EEF6" w14:textId="77777777" w:rsidR="00A83A0F" w:rsidRPr="00A83A0F" w:rsidRDefault="005A7527" w:rsidP="00A83A0F">
      <w:pPr>
        <w:jc w:val="both"/>
        <w:rPr>
          <w:b/>
        </w:rPr>
      </w:pPr>
      <w:r>
        <w:rPr>
          <w:b/>
        </w:rPr>
        <w:t>6</w:t>
      </w:r>
      <w:r w:rsidR="00304B90">
        <w:rPr>
          <w:b/>
        </w:rPr>
        <w:t>.2</w:t>
      </w:r>
      <w:r w:rsidR="00A83A0F" w:rsidRPr="00A83A0F">
        <w:rPr>
          <w:b/>
        </w:rPr>
        <w:t>.4.</w:t>
      </w:r>
      <w:r>
        <w:rPr>
          <w:b/>
        </w:rPr>
        <w:t xml:space="preserve">1 </w:t>
      </w:r>
      <w:r w:rsidR="00A83A0F" w:rsidRPr="00A83A0F">
        <w:rPr>
          <w:b/>
        </w:rPr>
        <w:t>– Régularisation de la prime</w:t>
      </w:r>
    </w:p>
    <w:p w14:paraId="7607360B" w14:textId="77777777" w:rsidR="00A83A0F" w:rsidRDefault="00A83A0F" w:rsidP="00A83A0F">
      <w:pPr>
        <w:jc w:val="both"/>
      </w:pPr>
      <w:r w:rsidRPr="00A83A0F">
        <w:t>La prime pourra être régularisée dan</w:t>
      </w:r>
      <w:r w:rsidR="0053474B">
        <w:t>s les conditions prévues dans le CCTP</w:t>
      </w:r>
      <w:r w:rsidR="005A7527" w:rsidRPr="005A7527">
        <w:t xml:space="preserve"> </w:t>
      </w:r>
      <w:r w:rsidR="005A7527">
        <w:t>du lot concerné.</w:t>
      </w:r>
    </w:p>
    <w:p w14:paraId="0DB14CBE" w14:textId="77777777" w:rsidR="00AD0008" w:rsidRPr="00A83A0F" w:rsidRDefault="00AD0008" w:rsidP="00A83A0F">
      <w:pPr>
        <w:jc w:val="both"/>
      </w:pPr>
    </w:p>
    <w:p w14:paraId="65D9DB87" w14:textId="77777777" w:rsidR="00A83A0F" w:rsidRPr="00A83A0F" w:rsidRDefault="005A7527" w:rsidP="00A83A0F">
      <w:pPr>
        <w:jc w:val="both"/>
        <w:rPr>
          <w:b/>
        </w:rPr>
      </w:pPr>
      <w:r>
        <w:rPr>
          <w:b/>
        </w:rPr>
        <w:t>6</w:t>
      </w:r>
      <w:r w:rsidR="00304B90">
        <w:rPr>
          <w:b/>
        </w:rPr>
        <w:t>.2.</w:t>
      </w:r>
      <w:r w:rsidR="00A83A0F" w:rsidRPr="00A83A0F">
        <w:rPr>
          <w:b/>
        </w:rPr>
        <w:t>4.</w:t>
      </w:r>
      <w:r>
        <w:rPr>
          <w:b/>
        </w:rPr>
        <w:t>2</w:t>
      </w:r>
      <w:r w:rsidR="00A83A0F" w:rsidRPr="00A83A0F">
        <w:rPr>
          <w:b/>
        </w:rPr>
        <w:t xml:space="preserve"> – Révision (=Indexation) de la prime  </w:t>
      </w:r>
    </w:p>
    <w:p w14:paraId="71C7C752" w14:textId="77777777" w:rsidR="00A83A0F" w:rsidRPr="00A83A0F" w:rsidRDefault="00A83A0F" w:rsidP="00A83A0F">
      <w:pPr>
        <w:jc w:val="both"/>
      </w:pPr>
      <w:r w:rsidRPr="00A83A0F">
        <w:t xml:space="preserve">Les prix du marché peuvent être révisables jusqu’au terme du marché, dans les conditions des articles « Prime » et/ou « Indexation » et/ou « Révision » </w:t>
      </w:r>
      <w:r w:rsidR="00F06011">
        <w:t>du</w:t>
      </w:r>
      <w:r w:rsidR="0053474B">
        <w:t xml:space="preserve"> CCTP</w:t>
      </w:r>
      <w:r w:rsidR="005A7527">
        <w:t xml:space="preserve"> du lot concerné.</w:t>
      </w:r>
    </w:p>
    <w:p w14:paraId="1836899B" w14:textId="77777777" w:rsidR="00A83A0F" w:rsidRPr="00A83A0F" w:rsidRDefault="00A83A0F" w:rsidP="00A83A0F">
      <w:pPr>
        <w:jc w:val="both"/>
        <w:rPr>
          <w:color w:val="4F81BD"/>
        </w:rPr>
      </w:pPr>
    </w:p>
    <w:p w14:paraId="7F49B9AD" w14:textId="77777777" w:rsidR="00A83A0F" w:rsidRPr="00A83A0F" w:rsidRDefault="005A7527" w:rsidP="00A83A0F">
      <w:pPr>
        <w:jc w:val="both"/>
      </w:pPr>
      <w:r>
        <w:rPr>
          <w:b/>
        </w:rPr>
        <w:t>6</w:t>
      </w:r>
      <w:r w:rsidR="00304B90">
        <w:rPr>
          <w:b/>
        </w:rPr>
        <w:t>.2</w:t>
      </w:r>
      <w:r w:rsidR="00A83A0F" w:rsidRPr="00A83A0F">
        <w:rPr>
          <w:b/>
        </w:rPr>
        <w:t>.4.</w:t>
      </w:r>
      <w:r>
        <w:rPr>
          <w:b/>
        </w:rPr>
        <w:t>3</w:t>
      </w:r>
      <w:r w:rsidR="00A83A0F" w:rsidRPr="00A83A0F">
        <w:rPr>
          <w:b/>
        </w:rPr>
        <w:t xml:space="preserve"> – Majoration d</w:t>
      </w:r>
      <w:r>
        <w:rPr>
          <w:b/>
        </w:rPr>
        <w:t>u taux et d</w:t>
      </w:r>
      <w:r w:rsidR="00A83A0F" w:rsidRPr="00A83A0F">
        <w:rPr>
          <w:b/>
        </w:rPr>
        <w:t xml:space="preserve">e la prime </w:t>
      </w:r>
    </w:p>
    <w:p w14:paraId="4A650ECB" w14:textId="77777777" w:rsidR="00A83A0F" w:rsidRDefault="00A83A0F" w:rsidP="00A83A0F">
      <w:pPr>
        <w:jc w:val="both"/>
      </w:pPr>
      <w:r w:rsidRPr="00A83A0F">
        <w:t>L</w:t>
      </w:r>
      <w:r w:rsidR="005A7527">
        <w:t>e taux et l</w:t>
      </w:r>
      <w:r w:rsidRPr="00A83A0F">
        <w:t>a prime pour</w:t>
      </w:r>
      <w:r w:rsidR="005A7527">
        <w:t>ront</w:t>
      </w:r>
      <w:r w:rsidRPr="00A83A0F">
        <w:t xml:space="preserve"> être majoré</w:t>
      </w:r>
      <w:r w:rsidR="005A7527">
        <w:t>s</w:t>
      </w:r>
      <w:r w:rsidRPr="00A83A0F">
        <w:t xml:space="preserve"> dans les </w:t>
      </w:r>
      <w:r w:rsidR="0053474B">
        <w:t>conditions prévues dans le CCTP</w:t>
      </w:r>
      <w:r w:rsidR="005A7527">
        <w:t xml:space="preserve"> du lot concerné. </w:t>
      </w:r>
    </w:p>
    <w:p w14:paraId="21F55FC9" w14:textId="77777777" w:rsidR="005A7527" w:rsidRPr="00A83A0F" w:rsidRDefault="005A7527" w:rsidP="005A7527">
      <w:pPr>
        <w:jc w:val="both"/>
      </w:pPr>
      <w:r>
        <w:t xml:space="preserve">L’Institut </w:t>
      </w:r>
      <w:r w:rsidRPr="00A83A0F">
        <w:t xml:space="preserve">se réservera ensuite le droit d’accepter cette augmentation </w:t>
      </w:r>
      <w:r>
        <w:t xml:space="preserve">ou majoration </w:t>
      </w:r>
      <w:r w:rsidRPr="00A83A0F">
        <w:t>ou de résilier le marché.</w:t>
      </w:r>
    </w:p>
    <w:p w14:paraId="5D6853EC" w14:textId="77777777" w:rsidR="005A7527" w:rsidRPr="00A83A0F" w:rsidRDefault="005A7527" w:rsidP="00A83A0F">
      <w:pPr>
        <w:jc w:val="both"/>
      </w:pPr>
    </w:p>
    <w:p w14:paraId="06685D87" w14:textId="77777777" w:rsidR="000811DA" w:rsidRDefault="005A7527" w:rsidP="007F5F99">
      <w:pPr>
        <w:pStyle w:val="Titre1"/>
      </w:pPr>
      <w:r>
        <w:rPr>
          <w:rFonts w:cs="Arial"/>
        </w:rPr>
        <w:br w:type="page"/>
      </w:r>
      <w:bookmarkStart w:id="27" w:name="_Toc216168254"/>
      <w:bookmarkStart w:id="28" w:name="_Toc227637613"/>
      <w:bookmarkStart w:id="29" w:name="_Toc25054623"/>
      <w:r w:rsidR="00885D32">
        <w:lastRenderedPageBreak/>
        <w:t xml:space="preserve">Article </w:t>
      </w:r>
      <w:r>
        <w:rPr>
          <w:lang w:val="fr-FR"/>
        </w:rPr>
        <w:t>7</w:t>
      </w:r>
      <w:r w:rsidR="000811DA" w:rsidRPr="00C239E2">
        <w:t> : Modalités de règlement des comptes</w:t>
      </w:r>
      <w:bookmarkEnd w:id="27"/>
      <w:bookmarkEnd w:id="28"/>
      <w:bookmarkEnd w:id="29"/>
    </w:p>
    <w:p w14:paraId="6CD8C0E2" w14:textId="77777777" w:rsidR="00885D32" w:rsidRPr="00885D32" w:rsidRDefault="00885D32" w:rsidP="00885D32"/>
    <w:p w14:paraId="526C8AD2" w14:textId="77777777" w:rsidR="000811DA" w:rsidRPr="00C239E2" w:rsidRDefault="005A7527" w:rsidP="00C239E2">
      <w:pPr>
        <w:keepNext/>
        <w:outlineLvl w:val="1"/>
        <w:rPr>
          <w:rFonts w:cs="Arial"/>
          <w:i/>
          <w:szCs w:val="22"/>
          <w:u w:val="single"/>
        </w:rPr>
      </w:pPr>
      <w:bookmarkStart w:id="30" w:name="_Toc216168256"/>
      <w:bookmarkStart w:id="31" w:name="_Toc227637615"/>
      <w:bookmarkStart w:id="32" w:name="_Toc25054624"/>
      <w:bookmarkStart w:id="33" w:name="_GoBack"/>
      <w:r>
        <w:rPr>
          <w:rFonts w:cs="Arial"/>
          <w:i/>
          <w:szCs w:val="22"/>
          <w:u w:val="single"/>
        </w:rPr>
        <w:t>7</w:t>
      </w:r>
      <w:r w:rsidR="00885D32">
        <w:rPr>
          <w:rFonts w:cs="Arial"/>
          <w:i/>
          <w:szCs w:val="22"/>
          <w:u w:val="single"/>
        </w:rPr>
        <w:t>.</w:t>
      </w:r>
      <w:r>
        <w:rPr>
          <w:rFonts w:cs="Arial"/>
          <w:i/>
          <w:szCs w:val="22"/>
          <w:u w:val="single"/>
        </w:rPr>
        <w:t>1</w:t>
      </w:r>
      <w:r w:rsidR="000811DA" w:rsidRPr="00C239E2">
        <w:rPr>
          <w:rFonts w:cs="Arial"/>
          <w:i/>
          <w:szCs w:val="22"/>
          <w:u w:val="single"/>
        </w:rPr>
        <w:t xml:space="preserve"> </w:t>
      </w:r>
      <w:r w:rsidR="00FF5783" w:rsidRPr="00C239E2">
        <w:rPr>
          <w:rFonts w:cs="Arial"/>
          <w:i/>
          <w:szCs w:val="22"/>
          <w:u w:val="single"/>
        </w:rPr>
        <w:t>–</w:t>
      </w:r>
      <w:r w:rsidR="000811DA" w:rsidRPr="00C239E2">
        <w:rPr>
          <w:rFonts w:cs="Arial"/>
          <w:i/>
          <w:szCs w:val="22"/>
          <w:u w:val="single"/>
        </w:rPr>
        <w:t xml:space="preserve"> Présentation des demandes de paiements</w:t>
      </w:r>
      <w:bookmarkEnd w:id="30"/>
      <w:bookmarkEnd w:id="31"/>
      <w:bookmarkEnd w:id="32"/>
    </w:p>
    <w:p w14:paraId="291689B6" w14:textId="77777777" w:rsidR="00DB5071" w:rsidRPr="00DB5071" w:rsidRDefault="00DB5071" w:rsidP="00DB5071">
      <w:pPr>
        <w:pStyle w:val="corpsdete"/>
        <w:spacing w:before="0" w:beforeAutospacing="0" w:after="0" w:afterAutospacing="0"/>
        <w:jc w:val="both"/>
        <w:rPr>
          <w:sz w:val="22"/>
          <w:szCs w:val="22"/>
        </w:rPr>
      </w:pPr>
      <w:r w:rsidRPr="00DB5071">
        <w:rPr>
          <w:rFonts w:cs="Arial"/>
          <w:color w:val="000000"/>
          <w:sz w:val="22"/>
          <w:szCs w:val="22"/>
        </w:rPr>
        <w:t xml:space="preserve">Outre les mentions légales, les factures afférentes au marché porteront obligatoirement les mentions suivantes : </w:t>
      </w:r>
    </w:p>
    <w:p w14:paraId="60ADC26A" w14:textId="77777777" w:rsidR="00DB5071" w:rsidRPr="00DB5071" w:rsidRDefault="00DB5071" w:rsidP="00DB5071">
      <w:pPr>
        <w:pStyle w:val="NormalWeb"/>
        <w:numPr>
          <w:ilvl w:val="0"/>
          <w:numId w:val="24"/>
        </w:numPr>
        <w:spacing w:before="0" w:beforeAutospacing="0" w:after="0" w:afterAutospacing="0"/>
        <w:jc w:val="both"/>
        <w:rPr>
          <w:color w:val="000000"/>
          <w:sz w:val="22"/>
          <w:szCs w:val="22"/>
        </w:rPr>
      </w:pPr>
      <w:r w:rsidRPr="00DB5071">
        <w:rPr>
          <w:rFonts w:cs="Arial"/>
          <w:color w:val="000000"/>
          <w:sz w:val="22"/>
          <w:szCs w:val="22"/>
        </w:rPr>
        <w:t>La date,</w:t>
      </w:r>
    </w:p>
    <w:p w14:paraId="0508384D"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Les références du marché (</w:t>
      </w:r>
      <w:r w:rsidR="005A7527">
        <w:rPr>
          <w:rFonts w:cs="Arial"/>
          <w:color w:val="000000"/>
          <w:sz w:val="22"/>
          <w:szCs w:val="22"/>
        </w:rPr>
        <w:t>le cas échéant),</w:t>
      </w:r>
    </w:p>
    <w:p w14:paraId="276482A5"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 nom et l’adresse du titulaire,</w:t>
      </w:r>
    </w:p>
    <w:p w14:paraId="55F4AEE9"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 numéro de son compte bancaire ou posta</w:t>
      </w:r>
      <w:r w:rsidR="00107744">
        <w:rPr>
          <w:rFonts w:cs="Arial"/>
          <w:color w:val="000000"/>
          <w:sz w:val="22"/>
          <w:szCs w:val="22"/>
        </w:rPr>
        <w:t>l tel qu’il est précisé dans l’acte d’e</w:t>
      </w:r>
      <w:r w:rsidRPr="00DB5071">
        <w:rPr>
          <w:rFonts w:cs="Arial"/>
          <w:color w:val="000000"/>
          <w:sz w:val="22"/>
          <w:szCs w:val="22"/>
        </w:rPr>
        <w:t>ngagement,</w:t>
      </w:r>
    </w:p>
    <w:p w14:paraId="26E6F89D"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La désignation exacte des services proposés,</w:t>
      </w:r>
    </w:p>
    <w:p w14:paraId="05DC5BF5"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 montant total HT,</w:t>
      </w:r>
    </w:p>
    <w:p w14:paraId="71C06CF7"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 taux et le montant de</w:t>
      </w:r>
      <w:r w:rsidR="005A7527">
        <w:rPr>
          <w:rFonts w:cs="Arial"/>
          <w:color w:val="000000"/>
          <w:sz w:val="22"/>
          <w:szCs w:val="22"/>
        </w:rPr>
        <w:t xml:space="preserve">s taxes, </w:t>
      </w:r>
    </w:p>
    <w:p w14:paraId="7E212AF3" w14:textId="77777777" w:rsidR="00DB5071" w:rsidRPr="00DB5071" w:rsidRDefault="00DB5071" w:rsidP="00DB5071">
      <w:pPr>
        <w:pStyle w:val="paragraphe"/>
        <w:numPr>
          <w:ilvl w:val="0"/>
          <w:numId w:val="24"/>
        </w:numPr>
        <w:spacing w:before="0" w:beforeAutospacing="0" w:after="0" w:afterAutospacing="0"/>
        <w:jc w:val="both"/>
        <w:rPr>
          <w:color w:val="000000"/>
          <w:sz w:val="22"/>
          <w:szCs w:val="22"/>
        </w:rPr>
      </w:pPr>
      <w:r w:rsidRPr="00DB5071">
        <w:rPr>
          <w:rFonts w:cs="Arial"/>
          <w:color w:val="000000"/>
          <w:sz w:val="22"/>
          <w:szCs w:val="22"/>
        </w:rPr>
        <w:t>Le montant total TTC.</w:t>
      </w:r>
    </w:p>
    <w:p w14:paraId="5979A9C8" w14:textId="77777777" w:rsidR="00DB5071" w:rsidRPr="00DB5071" w:rsidRDefault="00DB5071" w:rsidP="00DB5071">
      <w:pPr>
        <w:pStyle w:val="corpsde"/>
        <w:spacing w:before="0" w:beforeAutospacing="0" w:after="0" w:afterAutospacing="0"/>
        <w:ind w:left="720"/>
        <w:jc w:val="both"/>
        <w:rPr>
          <w:color w:val="000000"/>
          <w:sz w:val="22"/>
          <w:szCs w:val="22"/>
        </w:rPr>
      </w:pPr>
      <w:r w:rsidRPr="00DB5071">
        <w:rPr>
          <w:rFonts w:cs="Arial"/>
          <w:b/>
          <w:bCs/>
          <w:color w:val="000000"/>
          <w:sz w:val="22"/>
          <w:szCs w:val="22"/>
        </w:rPr>
        <w:t> </w:t>
      </w:r>
    </w:p>
    <w:p w14:paraId="2B734116" w14:textId="77777777" w:rsidR="00DB5071" w:rsidRPr="00DB5071" w:rsidRDefault="00DB5071" w:rsidP="006E2428">
      <w:pPr>
        <w:pStyle w:val="corpsde"/>
        <w:spacing w:before="0" w:beforeAutospacing="0" w:after="0" w:afterAutospacing="0"/>
        <w:jc w:val="both"/>
        <w:rPr>
          <w:sz w:val="22"/>
          <w:szCs w:val="22"/>
        </w:rPr>
      </w:pPr>
      <w:r w:rsidRPr="00DB5071">
        <w:rPr>
          <w:rFonts w:cs="Arial"/>
          <w:color w:val="000000"/>
          <w:sz w:val="22"/>
          <w:szCs w:val="22"/>
        </w:rPr>
        <w:t>Les paiements sont effectués selon les règles de l</w:t>
      </w:r>
      <w:r w:rsidR="005A7527">
        <w:rPr>
          <w:rFonts w:cs="Arial"/>
          <w:color w:val="000000"/>
          <w:sz w:val="22"/>
          <w:szCs w:val="22"/>
        </w:rPr>
        <w:t xml:space="preserve">’Institut </w:t>
      </w:r>
      <w:r w:rsidRPr="00DB5071">
        <w:rPr>
          <w:rFonts w:cs="Arial"/>
          <w:color w:val="000000"/>
          <w:sz w:val="22"/>
          <w:szCs w:val="22"/>
        </w:rPr>
        <w:t xml:space="preserve">sur présentation </w:t>
      </w:r>
      <w:r w:rsidR="005A7527">
        <w:rPr>
          <w:rFonts w:cs="Arial"/>
          <w:color w:val="000000"/>
          <w:sz w:val="22"/>
          <w:szCs w:val="22"/>
        </w:rPr>
        <w:t>de la facture</w:t>
      </w:r>
      <w:r w:rsidRPr="00DB5071">
        <w:rPr>
          <w:rFonts w:cs="Arial"/>
          <w:color w:val="000000"/>
          <w:sz w:val="22"/>
          <w:szCs w:val="22"/>
        </w:rPr>
        <w:t xml:space="preserve"> portant les mentions légales obligatoires.</w:t>
      </w:r>
    </w:p>
    <w:p w14:paraId="7F94C440" w14:textId="77777777" w:rsidR="00AA4B9D" w:rsidRDefault="00AA4B9D" w:rsidP="00CA2509">
      <w:pPr>
        <w:pStyle w:val="corpsde"/>
        <w:spacing w:before="0" w:beforeAutospacing="0" w:after="0" w:afterAutospacing="0"/>
        <w:ind w:left="720"/>
        <w:jc w:val="both"/>
        <w:rPr>
          <w:rFonts w:cs="Arial"/>
          <w:b/>
          <w:bCs/>
          <w:color w:val="000000"/>
          <w:sz w:val="22"/>
          <w:szCs w:val="22"/>
        </w:rPr>
      </w:pPr>
    </w:p>
    <w:p w14:paraId="0939D499" w14:textId="77777777" w:rsidR="00DB5071" w:rsidRPr="00DB5071" w:rsidRDefault="00DB5071" w:rsidP="006E2428">
      <w:pPr>
        <w:pStyle w:val="aetitre4"/>
        <w:spacing w:before="0" w:beforeAutospacing="0" w:after="0" w:afterAutospacing="0"/>
        <w:jc w:val="both"/>
        <w:rPr>
          <w:color w:val="000000"/>
          <w:sz w:val="22"/>
          <w:szCs w:val="22"/>
        </w:rPr>
      </w:pPr>
      <w:r w:rsidRPr="00DB5071">
        <w:rPr>
          <w:rStyle w:val="lev"/>
          <w:sz w:val="22"/>
          <w:szCs w:val="22"/>
        </w:rPr>
        <w:t>Adresse de facturation</w:t>
      </w:r>
    </w:p>
    <w:p w14:paraId="0A9DA31D" w14:textId="77777777" w:rsidR="00A40192" w:rsidRDefault="00DB5071" w:rsidP="00A40192">
      <w:pPr>
        <w:pStyle w:val="NormalWeb"/>
        <w:spacing w:before="0" w:beforeAutospacing="0" w:after="0" w:afterAutospacing="0"/>
        <w:jc w:val="both"/>
        <w:rPr>
          <w:rFonts w:cs="Arial"/>
          <w:color w:val="000000"/>
          <w:sz w:val="22"/>
          <w:szCs w:val="22"/>
        </w:rPr>
      </w:pPr>
      <w:r w:rsidRPr="00DB5071">
        <w:rPr>
          <w:rFonts w:cs="Arial"/>
          <w:color w:val="000000"/>
          <w:sz w:val="22"/>
          <w:szCs w:val="22"/>
        </w:rPr>
        <w:t>A la date de publication de la présente consultation, l</w:t>
      </w:r>
      <w:r w:rsidR="005A7527">
        <w:rPr>
          <w:rFonts w:cs="Arial"/>
          <w:color w:val="000000"/>
          <w:sz w:val="22"/>
          <w:szCs w:val="22"/>
        </w:rPr>
        <w:t>a</w:t>
      </w:r>
      <w:r w:rsidRPr="00DB5071">
        <w:rPr>
          <w:rFonts w:cs="Arial"/>
          <w:color w:val="000000"/>
          <w:sz w:val="22"/>
          <w:szCs w:val="22"/>
        </w:rPr>
        <w:t xml:space="preserve"> facture ser</w:t>
      </w:r>
      <w:r w:rsidR="005A7527">
        <w:rPr>
          <w:rFonts w:cs="Arial"/>
          <w:color w:val="000000"/>
          <w:sz w:val="22"/>
          <w:szCs w:val="22"/>
        </w:rPr>
        <w:t xml:space="preserve">a </w:t>
      </w:r>
      <w:r w:rsidRPr="001E6F7B">
        <w:rPr>
          <w:rFonts w:cs="Arial"/>
          <w:color w:val="000000"/>
          <w:sz w:val="22"/>
          <w:szCs w:val="22"/>
        </w:rPr>
        <w:t>envoyée</w:t>
      </w:r>
      <w:r w:rsidR="005A7527">
        <w:rPr>
          <w:rFonts w:cs="Arial"/>
          <w:color w:val="000000"/>
          <w:sz w:val="22"/>
          <w:szCs w:val="22"/>
        </w:rPr>
        <w:t xml:space="preserve"> </w:t>
      </w:r>
      <w:r w:rsidRPr="00DB5071">
        <w:rPr>
          <w:rFonts w:cs="Arial"/>
          <w:color w:val="000000"/>
          <w:sz w:val="22"/>
          <w:szCs w:val="22"/>
        </w:rPr>
        <w:t>par tout moyen permettant de donner date certaine à l’adresse suivante :</w:t>
      </w:r>
    </w:p>
    <w:p w14:paraId="5C87457B" w14:textId="77777777" w:rsidR="00A40192" w:rsidRDefault="00A40192" w:rsidP="00A40192">
      <w:pPr>
        <w:pStyle w:val="NormalWeb"/>
        <w:spacing w:before="0" w:beforeAutospacing="0" w:after="0" w:afterAutospacing="0"/>
        <w:jc w:val="both"/>
        <w:rPr>
          <w:b/>
          <w:bCs/>
        </w:rPr>
      </w:pPr>
    </w:p>
    <w:p w14:paraId="4C81777E" w14:textId="77777777" w:rsidR="0077791F" w:rsidRPr="00A40192" w:rsidRDefault="005A7527" w:rsidP="00A40192">
      <w:pPr>
        <w:pStyle w:val="NormalWeb"/>
        <w:spacing w:before="0" w:beforeAutospacing="0" w:after="0" w:afterAutospacing="0"/>
        <w:jc w:val="center"/>
        <w:rPr>
          <w:rFonts w:cs="Arial"/>
          <w:color w:val="000000"/>
          <w:sz w:val="22"/>
          <w:szCs w:val="22"/>
        </w:rPr>
      </w:pPr>
      <w:r>
        <w:rPr>
          <w:b/>
          <w:bCs/>
        </w:rPr>
        <w:t>ICM</w:t>
      </w:r>
    </w:p>
    <w:p w14:paraId="1DD207A0" w14:textId="77777777" w:rsidR="00A40192" w:rsidRPr="008904AB" w:rsidRDefault="00A40192" w:rsidP="00A40192">
      <w:pPr>
        <w:pStyle w:val="En-tte"/>
        <w:tabs>
          <w:tab w:val="clear" w:pos="4536"/>
          <w:tab w:val="clear" w:pos="9072"/>
        </w:tabs>
        <w:spacing w:line="276" w:lineRule="auto"/>
        <w:jc w:val="center"/>
        <w:rPr>
          <w:rFonts w:ascii="Exo Regular" w:hAnsi="Exo Regular" w:cs="Arial"/>
          <w:b/>
        </w:rPr>
      </w:pPr>
      <w:r w:rsidRPr="008904AB">
        <w:rPr>
          <w:rFonts w:ascii="Exo Regular" w:hAnsi="Exo Regular" w:cs="Arial"/>
          <w:b/>
        </w:rPr>
        <w:t xml:space="preserve">Hôpital Pitié-Salpêtrière </w:t>
      </w:r>
    </w:p>
    <w:p w14:paraId="1D7B395A" w14:textId="77777777" w:rsidR="00A40192" w:rsidRPr="008904AB" w:rsidRDefault="00A40192" w:rsidP="00A40192">
      <w:pPr>
        <w:pStyle w:val="En-tte"/>
        <w:tabs>
          <w:tab w:val="clear" w:pos="4536"/>
          <w:tab w:val="clear" w:pos="9072"/>
        </w:tabs>
        <w:spacing w:line="276" w:lineRule="auto"/>
        <w:jc w:val="center"/>
        <w:rPr>
          <w:rFonts w:ascii="Exo Regular" w:hAnsi="Exo Regular" w:cs="Arial"/>
          <w:b/>
        </w:rPr>
      </w:pPr>
      <w:r w:rsidRPr="008904AB">
        <w:rPr>
          <w:rFonts w:ascii="Exo Regular" w:hAnsi="Exo Regular" w:cs="Arial"/>
          <w:b/>
        </w:rPr>
        <w:t>47, Boulevard de l’Hôpital</w:t>
      </w:r>
    </w:p>
    <w:p w14:paraId="1B53FC54" w14:textId="77777777" w:rsidR="00A40192" w:rsidRDefault="00A40192" w:rsidP="00A40192">
      <w:pPr>
        <w:pStyle w:val="En-tte"/>
        <w:tabs>
          <w:tab w:val="clear" w:pos="4536"/>
          <w:tab w:val="clear" w:pos="9072"/>
        </w:tabs>
        <w:spacing w:line="276" w:lineRule="auto"/>
        <w:jc w:val="center"/>
        <w:rPr>
          <w:rFonts w:ascii="Exo Regular" w:hAnsi="Exo Regular" w:cs="Arial"/>
          <w:b/>
        </w:rPr>
      </w:pPr>
      <w:r w:rsidRPr="008904AB">
        <w:rPr>
          <w:rFonts w:ascii="Exo Regular" w:hAnsi="Exo Regular" w:cs="Arial"/>
          <w:b/>
        </w:rPr>
        <w:t xml:space="preserve">75013 PARIS </w:t>
      </w:r>
    </w:p>
    <w:p w14:paraId="0003D2B3" w14:textId="77777777" w:rsidR="00A40192" w:rsidRDefault="00A40192" w:rsidP="00A40192">
      <w:pPr>
        <w:pStyle w:val="En-tte"/>
        <w:tabs>
          <w:tab w:val="clear" w:pos="4536"/>
          <w:tab w:val="clear" w:pos="9072"/>
        </w:tabs>
        <w:spacing w:line="276" w:lineRule="auto"/>
        <w:jc w:val="center"/>
        <w:rPr>
          <w:rFonts w:ascii="Exo Regular" w:hAnsi="Exo Regular" w:cs="Arial"/>
          <w:b/>
        </w:rPr>
      </w:pPr>
    </w:p>
    <w:p w14:paraId="2DB6C8A3" w14:textId="77777777" w:rsidR="00A40192" w:rsidRPr="00A40192" w:rsidRDefault="00A40192" w:rsidP="00A40192">
      <w:pPr>
        <w:pStyle w:val="En-tte"/>
        <w:tabs>
          <w:tab w:val="clear" w:pos="4536"/>
          <w:tab w:val="clear" w:pos="9072"/>
        </w:tabs>
        <w:spacing w:line="276" w:lineRule="auto"/>
        <w:jc w:val="center"/>
        <w:rPr>
          <w:rFonts w:ascii="Exo Regular" w:hAnsi="Exo Regular" w:cs="Arial"/>
          <w:b/>
          <w:lang w:val="fr-FR"/>
        </w:rPr>
      </w:pPr>
      <w:r>
        <w:rPr>
          <w:rFonts w:ascii="Exo Regular" w:hAnsi="Exo Regular" w:cs="Arial"/>
          <w:b/>
          <w:lang w:val="fr-FR"/>
        </w:rPr>
        <w:t xml:space="preserve">A l’attention de </w:t>
      </w:r>
      <w:r w:rsidR="0081486A">
        <w:rPr>
          <w:rFonts w:ascii="Exo Regular" w:hAnsi="Exo Regular" w:cs="Arial"/>
          <w:b/>
          <w:lang w:val="fr-FR"/>
        </w:rPr>
        <w:t>M. Philippe SIMON</w:t>
      </w:r>
      <w:r>
        <w:rPr>
          <w:rFonts w:ascii="Exo Regular" w:hAnsi="Exo Regular" w:cs="Arial"/>
          <w:b/>
          <w:lang w:val="fr-FR"/>
        </w:rPr>
        <w:t xml:space="preserve"> </w:t>
      </w:r>
    </w:p>
    <w:p w14:paraId="583BE41D" w14:textId="77777777" w:rsidR="006D2B6F" w:rsidRDefault="006D2B6F" w:rsidP="006D2B6F">
      <w:pPr>
        <w:jc w:val="center"/>
        <w:rPr>
          <w:szCs w:val="22"/>
        </w:rPr>
      </w:pPr>
    </w:p>
    <w:p w14:paraId="0CAB1E78" w14:textId="77777777" w:rsidR="001F11A1" w:rsidRPr="00C239E2" w:rsidRDefault="001F11A1" w:rsidP="001F11A1">
      <w:pPr>
        <w:keepLines/>
        <w:tabs>
          <w:tab w:val="left" w:pos="284"/>
          <w:tab w:val="left" w:pos="567"/>
          <w:tab w:val="left" w:pos="851"/>
        </w:tabs>
        <w:jc w:val="both"/>
        <w:rPr>
          <w:rFonts w:cs="Arial"/>
          <w:noProof/>
          <w:szCs w:val="22"/>
        </w:rPr>
      </w:pPr>
      <w:r w:rsidRPr="00C239E2">
        <w:rPr>
          <w:rFonts w:cs="Arial"/>
          <w:noProof/>
          <w:szCs w:val="22"/>
        </w:rPr>
        <w:t xml:space="preserve">Si le titulaire est établi dans un autre pays de l’Union Européenne sans avoir d’établissement en France, il facturera ses prestations hors T.V.A. et aura droit à ce que l’administration </w:t>
      </w:r>
      <w:r w:rsidR="009B68C5">
        <w:rPr>
          <w:rFonts w:cs="Arial"/>
          <w:noProof/>
          <w:szCs w:val="22"/>
        </w:rPr>
        <w:t xml:space="preserve">compétente </w:t>
      </w:r>
      <w:r w:rsidRPr="00C239E2">
        <w:rPr>
          <w:rFonts w:cs="Arial"/>
          <w:noProof/>
          <w:szCs w:val="22"/>
        </w:rPr>
        <w:t>lui communique un numéro d’identification fiscal.</w:t>
      </w:r>
      <w:bookmarkEnd w:id="33"/>
    </w:p>
    <w:p w14:paraId="1BBC8902" w14:textId="77777777" w:rsidR="001F11A1" w:rsidRPr="002151E9" w:rsidRDefault="001F11A1" w:rsidP="002151E9">
      <w:pPr>
        <w:jc w:val="both"/>
        <w:rPr>
          <w:szCs w:val="22"/>
        </w:rPr>
      </w:pPr>
    </w:p>
    <w:p w14:paraId="2AE0DA09" w14:textId="77777777" w:rsidR="000811DA" w:rsidRPr="00C239E2" w:rsidRDefault="005A7527" w:rsidP="00C239E2">
      <w:pPr>
        <w:keepNext/>
        <w:outlineLvl w:val="1"/>
        <w:rPr>
          <w:rFonts w:cs="Arial"/>
          <w:i/>
          <w:szCs w:val="22"/>
          <w:u w:val="single"/>
        </w:rPr>
      </w:pPr>
      <w:bookmarkStart w:id="34" w:name="_Toc216168258"/>
      <w:bookmarkStart w:id="35" w:name="_Toc227637616"/>
      <w:bookmarkStart w:id="36" w:name="_Toc25054625"/>
      <w:r>
        <w:rPr>
          <w:rFonts w:cs="Arial"/>
          <w:i/>
          <w:szCs w:val="22"/>
          <w:u w:val="single"/>
        </w:rPr>
        <w:t>7</w:t>
      </w:r>
      <w:r w:rsidR="00C976F6">
        <w:rPr>
          <w:rFonts w:cs="Arial"/>
          <w:i/>
          <w:szCs w:val="22"/>
          <w:u w:val="single"/>
        </w:rPr>
        <w:t>.</w:t>
      </w:r>
      <w:r w:rsidR="007F5F99">
        <w:rPr>
          <w:rFonts w:cs="Arial"/>
          <w:i/>
          <w:szCs w:val="22"/>
          <w:u w:val="single"/>
        </w:rPr>
        <w:t>2</w:t>
      </w:r>
      <w:r w:rsidR="00C976F6">
        <w:rPr>
          <w:rFonts w:cs="Arial"/>
          <w:i/>
          <w:szCs w:val="22"/>
          <w:u w:val="single"/>
        </w:rPr>
        <w:t xml:space="preserve"> </w:t>
      </w:r>
      <w:r w:rsidR="00FF5783" w:rsidRPr="00C239E2">
        <w:rPr>
          <w:rFonts w:cs="Arial"/>
          <w:i/>
          <w:szCs w:val="22"/>
          <w:u w:val="single"/>
        </w:rPr>
        <w:t xml:space="preserve">– </w:t>
      </w:r>
      <w:r w:rsidR="000811DA" w:rsidRPr="00C239E2">
        <w:rPr>
          <w:rFonts w:cs="Arial"/>
          <w:i/>
          <w:szCs w:val="22"/>
          <w:u w:val="single"/>
        </w:rPr>
        <w:t>Mode de règlement</w:t>
      </w:r>
      <w:bookmarkEnd w:id="34"/>
      <w:bookmarkEnd w:id="35"/>
      <w:bookmarkEnd w:id="36"/>
    </w:p>
    <w:p w14:paraId="0F19499D" w14:textId="77777777" w:rsidR="00785CE4" w:rsidRPr="00785CE4" w:rsidRDefault="00785CE4" w:rsidP="00785CE4">
      <w:pPr>
        <w:pStyle w:val="NormalWeb"/>
        <w:spacing w:before="0" w:beforeAutospacing="0" w:after="0" w:afterAutospacing="0"/>
        <w:jc w:val="both"/>
        <w:rPr>
          <w:color w:val="000000"/>
          <w:sz w:val="22"/>
          <w:szCs w:val="22"/>
        </w:rPr>
      </w:pPr>
      <w:r w:rsidRPr="00785CE4">
        <w:rPr>
          <w:rFonts w:cs="Arial"/>
          <w:color w:val="000000"/>
          <w:sz w:val="22"/>
          <w:szCs w:val="22"/>
        </w:rPr>
        <w:t>Les garanties</w:t>
      </w:r>
      <w:r w:rsidR="0067258E">
        <w:rPr>
          <w:rFonts w:cs="Arial"/>
          <w:color w:val="000000"/>
          <w:sz w:val="22"/>
          <w:szCs w:val="22"/>
        </w:rPr>
        <w:t xml:space="preserve"> seront facturées annuellement. </w:t>
      </w:r>
    </w:p>
    <w:p w14:paraId="5829C44E" w14:textId="77777777" w:rsidR="00785CE4" w:rsidRPr="00785CE4" w:rsidRDefault="00785CE4" w:rsidP="00785CE4">
      <w:pPr>
        <w:pStyle w:val="NormalWeb"/>
        <w:spacing w:before="0" w:beforeAutospacing="0" w:after="0" w:afterAutospacing="0"/>
        <w:jc w:val="both"/>
        <w:rPr>
          <w:color w:val="000000"/>
          <w:sz w:val="22"/>
          <w:szCs w:val="22"/>
        </w:rPr>
      </w:pPr>
      <w:r w:rsidRPr="00785CE4">
        <w:rPr>
          <w:rFonts w:cs="Arial"/>
          <w:color w:val="000000"/>
          <w:sz w:val="22"/>
          <w:szCs w:val="22"/>
        </w:rPr>
        <w:t> </w:t>
      </w:r>
    </w:p>
    <w:p w14:paraId="555CCDFC" w14:textId="77777777" w:rsidR="00785CE4" w:rsidRPr="00785CE4" w:rsidRDefault="00785CE4" w:rsidP="00785CE4">
      <w:pPr>
        <w:pStyle w:val="NormalWeb"/>
        <w:spacing w:before="0" w:beforeAutospacing="0" w:after="0" w:afterAutospacing="0"/>
        <w:jc w:val="both"/>
        <w:rPr>
          <w:color w:val="000000"/>
          <w:sz w:val="22"/>
          <w:szCs w:val="22"/>
        </w:rPr>
      </w:pPr>
      <w:r w:rsidRPr="00785CE4">
        <w:rPr>
          <w:rFonts w:cs="Arial"/>
          <w:color w:val="000000"/>
          <w:sz w:val="22"/>
          <w:szCs w:val="22"/>
        </w:rPr>
        <w:t xml:space="preserve">Le </w:t>
      </w:r>
      <w:r w:rsidRPr="009B68C5">
        <w:rPr>
          <w:rFonts w:cs="Arial"/>
          <w:sz w:val="22"/>
          <w:szCs w:val="22"/>
        </w:rPr>
        <w:t xml:space="preserve">montant </w:t>
      </w:r>
      <w:r w:rsidR="00A94F61" w:rsidRPr="009B68C5">
        <w:rPr>
          <w:rFonts w:cs="Arial"/>
          <w:sz w:val="22"/>
          <w:szCs w:val="22"/>
        </w:rPr>
        <w:t xml:space="preserve">détaillé </w:t>
      </w:r>
      <w:r w:rsidRPr="009B68C5">
        <w:rPr>
          <w:rFonts w:cs="Arial"/>
          <w:sz w:val="22"/>
          <w:szCs w:val="22"/>
        </w:rPr>
        <w:t>de la cotisation</w:t>
      </w:r>
      <w:r w:rsidRPr="00785CE4">
        <w:rPr>
          <w:rFonts w:cs="Arial"/>
          <w:color w:val="000000"/>
          <w:sz w:val="22"/>
          <w:szCs w:val="22"/>
        </w:rPr>
        <w:t xml:space="preserve"> annuelle, ainsi que les frais, impôts et taxes y afférents, sont portés à la connaissance du </w:t>
      </w:r>
      <w:r w:rsidR="005A7527">
        <w:rPr>
          <w:rFonts w:cs="Arial"/>
          <w:color w:val="000000"/>
          <w:sz w:val="22"/>
          <w:szCs w:val="22"/>
        </w:rPr>
        <w:t>S</w:t>
      </w:r>
      <w:r w:rsidRPr="00785CE4">
        <w:rPr>
          <w:rFonts w:cs="Arial"/>
          <w:color w:val="000000"/>
          <w:sz w:val="22"/>
          <w:szCs w:val="22"/>
        </w:rPr>
        <w:t>ouscripteur au moyen d'un avis d'échéance.</w:t>
      </w:r>
    </w:p>
    <w:p w14:paraId="64571ABB" w14:textId="77777777" w:rsidR="00785CE4" w:rsidRPr="00785CE4" w:rsidRDefault="00785CE4" w:rsidP="00785CE4">
      <w:pPr>
        <w:pStyle w:val="NormalWeb"/>
        <w:spacing w:before="0" w:beforeAutospacing="0" w:after="0" w:afterAutospacing="0"/>
        <w:jc w:val="both"/>
        <w:rPr>
          <w:color w:val="000000"/>
          <w:sz w:val="22"/>
          <w:szCs w:val="22"/>
        </w:rPr>
      </w:pPr>
      <w:r w:rsidRPr="00785CE4">
        <w:rPr>
          <w:rFonts w:cs="Arial"/>
          <w:color w:val="000000"/>
          <w:sz w:val="22"/>
          <w:szCs w:val="22"/>
        </w:rPr>
        <w:t> </w:t>
      </w:r>
    </w:p>
    <w:p w14:paraId="7CA95E22" w14:textId="77777777" w:rsidR="00A83A0F" w:rsidRDefault="00A83A0F" w:rsidP="005A7527">
      <w:pPr>
        <w:jc w:val="both"/>
        <w:rPr>
          <w:szCs w:val="22"/>
        </w:rPr>
      </w:pPr>
      <w:bookmarkStart w:id="37" w:name="_Toc216168259"/>
      <w:bookmarkStart w:id="38" w:name="_Toc227637617"/>
      <w:r w:rsidRPr="00455C13">
        <w:t>Le mode de règlement des appels de prime choisi est le viremen</w:t>
      </w:r>
      <w:r w:rsidR="005A7527">
        <w:t>t</w:t>
      </w:r>
      <w:r w:rsidRPr="00455C13">
        <w:t xml:space="preserve">. Il interviendra dans les </w:t>
      </w:r>
      <w:r w:rsidR="00941A22">
        <w:rPr>
          <w:u w:val="single"/>
        </w:rPr>
        <w:t>3</w:t>
      </w:r>
      <w:r w:rsidRPr="00291654">
        <w:rPr>
          <w:u w:val="single"/>
        </w:rPr>
        <w:t>0 jours</w:t>
      </w:r>
      <w:r w:rsidRPr="00455C13">
        <w:t xml:space="preserve"> suivant la réception de la facture par</w:t>
      </w:r>
      <w:r w:rsidR="006D2B6F">
        <w:t xml:space="preserve"> </w:t>
      </w:r>
      <w:r w:rsidR="005D08EE">
        <w:t>le</w:t>
      </w:r>
      <w:r w:rsidRPr="00455C13">
        <w:t xml:space="preserve"> </w:t>
      </w:r>
      <w:r w:rsidR="005A7527">
        <w:t>Souscripteur.</w:t>
      </w:r>
    </w:p>
    <w:p w14:paraId="088D3544" w14:textId="77777777" w:rsidR="00407697" w:rsidRDefault="00407697" w:rsidP="00A83A0F">
      <w:pPr>
        <w:pStyle w:val="Corpsdetexte2"/>
        <w:jc w:val="both"/>
        <w:rPr>
          <w:rFonts w:ascii="Exo Regular" w:hAnsi="Exo Regular"/>
          <w:szCs w:val="22"/>
        </w:rPr>
      </w:pPr>
    </w:p>
    <w:p w14:paraId="2C412F5F" w14:textId="77777777" w:rsidR="000811DA" w:rsidRPr="00C239E2" w:rsidRDefault="00885D32" w:rsidP="007341A5">
      <w:pPr>
        <w:pStyle w:val="Titre1"/>
      </w:pPr>
      <w:bookmarkStart w:id="39" w:name="_Toc25054626"/>
      <w:r>
        <w:t xml:space="preserve">Article </w:t>
      </w:r>
      <w:r w:rsidR="005A7527">
        <w:rPr>
          <w:lang w:val="fr-FR"/>
        </w:rPr>
        <w:t>8</w:t>
      </w:r>
      <w:r w:rsidR="000811DA" w:rsidRPr="00C239E2">
        <w:t> : Pénalités</w:t>
      </w:r>
      <w:bookmarkEnd w:id="37"/>
      <w:r w:rsidR="000811DA" w:rsidRPr="00C239E2">
        <w:t xml:space="preserve"> de retard</w:t>
      </w:r>
      <w:bookmarkEnd w:id="38"/>
      <w:bookmarkEnd w:id="39"/>
      <w:r w:rsidR="000811DA" w:rsidRPr="00C239E2">
        <w:t xml:space="preserve"> </w:t>
      </w:r>
    </w:p>
    <w:p w14:paraId="5BC315CB" w14:textId="77777777" w:rsidR="000811DA" w:rsidRPr="00C239E2" w:rsidRDefault="000811DA" w:rsidP="00C239E2">
      <w:pPr>
        <w:rPr>
          <w:rFonts w:cs="Arial"/>
          <w:szCs w:val="22"/>
        </w:rPr>
      </w:pPr>
    </w:p>
    <w:p w14:paraId="6627F51F" w14:textId="77777777" w:rsidR="00473CBA" w:rsidRPr="00C239E2" w:rsidRDefault="00CA2509" w:rsidP="00C239E2">
      <w:pPr>
        <w:keepLines/>
        <w:tabs>
          <w:tab w:val="left" w:pos="284"/>
          <w:tab w:val="left" w:pos="567"/>
          <w:tab w:val="left" w:pos="851"/>
        </w:tabs>
        <w:jc w:val="both"/>
        <w:rPr>
          <w:rFonts w:cs="Arial"/>
          <w:noProof/>
          <w:szCs w:val="22"/>
        </w:rPr>
      </w:pPr>
      <w:r>
        <w:rPr>
          <w:rFonts w:cs="Arial"/>
          <w:noProof/>
          <w:szCs w:val="22"/>
        </w:rPr>
        <w:t>NEANT</w:t>
      </w:r>
    </w:p>
    <w:p w14:paraId="25F38114" w14:textId="77777777" w:rsidR="00F7672E" w:rsidRDefault="00F7672E" w:rsidP="00C239E2">
      <w:pPr>
        <w:keepNext/>
        <w:outlineLvl w:val="0"/>
        <w:rPr>
          <w:rFonts w:cs="Arial"/>
          <w:b/>
          <w:kern w:val="28"/>
          <w:szCs w:val="22"/>
        </w:rPr>
      </w:pPr>
      <w:bookmarkStart w:id="40" w:name="_Toc104695597"/>
      <w:bookmarkStart w:id="41" w:name="_Toc216168262"/>
      <w:bookmarkStart w:id="42" w:name="_Toc227637618"/>
    </w:p>
    <w:p w14:paraId="09AB9571" w14:textId="77777777" w:rsidR="005C42E8" w:rsidRDefault="005A7527">
      <w:pPr>
        <w:rPr>
          <w:rFonts w:cs="Arial"/>
          <w:b/>
          <w:bCs/>
          <w:i/>
          <w:iCs/>
          <w:noProof/>
          <w:color w:val="551B39"/>
          <w:szCs w:val="22"/>
          <w:u w:val="single"/>
        </w:rPr>
      </w:pPr>
      <w:bookmarkStart w:id="43" w:name="_Toc216168264"/>
      <w:bookmarkStart w:id="44" w:name="_Toc227637619"/>
      <w:bookmarkEnd w:id="40"/>
      <w:bookmarkEnd w:id="41"/>
      <w:bookmarkEnd w:id="42"/>
      <w:r>
        <w:rPr>
          <w:rFonts w:cs="Arial"/>
          <w:b/>
          <w:bCs/>
          <w:i/>
          <w:iCs/>
          <w:noProof/>
          <w:color w:val="551B39"/>
          <w:szCs w:val="22"/>
          <w:u w:val="single"/>
        </w:rPr>
        <w:br w:type="page"/>
      </w:r>
    </w:p>
    <w:p w14:paraId="1690B3DF" w14:textId="77777777" w:rsidR="000811DA" w:rsidRPr="00C239E2" w:rsidRDefault="000811DA" w:rsidP="007341A5">
      <w:pPr>
        <w:pStyle w:val="Titre1"/>
      </w:pPr>
      <w:bookmarkStart w:id="45" w:name="_Toc25054627"/>
      <w:r w:rsidRPr="00C239E2">
        <w:t xml:space="preserve">Article </w:t>
      </w:r>
      <w:r w:rsidR="005A7527">
        <w:rPr>
          <w:lang w:val="fr-FR"/>
        </w:rPr>
        <w:t>9</w:t>
      </w:r>
      <w:r w:rsidR="00885D32">
        <w:t xml:space="preserve"> </w:t>
      </w:r>
      <w:r w:rsidRPr="00C239E2">
        <w:t>: Assurances</w:t>
      </w:r>
      <w:bookmarkEnd w:id="43"/>
      <w:bookmarkEnd w:id="44"/>
      <w:bookmarkEnd w:id="45"/>
    </w:p>
    <w:p w14:paraId="48511EBE" w14:textId="77777777" w:rsidR="00F77848" w:rsidRPr="00C239E2" w:rsidRDefault="00F77848" w:rsidP="00C239E2">
      <w:pPr>
        <w:keepLines/>
        <w:tabs>
          <w:tab w:val="left" w:pos="284"/>
          <w:tab w:val="left" w:pos="567"/>
          <w:tab w:val="left" w:pos="851"/>
        </w:tabs>
        <w:jc w:val="both"/>
        <w:rPr>
          <w:rFonts w:cs="Arial"/>
          <w:noProof/>
          <w:szCs w:val="22"/>
        </w:rPr>
      </w:pPr>
    </w:p>
    <w:p w14:paraId="6B1549B8" w14:textId="77777777" w:rsidR="00C976F6" w:rsidRPr="00C976F6" w:rsidRDefault="00C976F6" w:rsidP="00C976F6">
      <w:pPr>
        <w:jc w:val="both"/>
      </w:pPr>
      <w:bookmarkStart w:id="46" w:name="_Toc216168265"/>
      <w:bookmarkStart w:id="47" w:name="_Toc227637620"/>
      <w:r w:rsidRPr="00C976F6">
        <w:t>Dans le cadre du présent marché, le titulaire atteste de sa couverture par la souscription d’une police d’assurance garantissant les conséquences pécuniaires de sa responsabilité civile susceptible d’être engagée pour les dommages matériels et corporels.</w:t>
      </w:r>
    </w:p>
    <w:p w14:paraId="2ABA0ADC" w14:textId="77777777" w:rsidR="00C976F6" w:rsidRPr="00C976F6" w:rsidRDefault="00C976F6" w:rsidP="00C976F6">
      <w:pPr>
        <w:jc w:val="both"/>
      </w:pPr>
    </w:p>
    <w:p w14:paraId="3E3F6CDE" w14:textId="77777777" w:rsidR="00C976F6" w:rsidRPr="00C976F6" w:rsidRDefault="00C976F6" w:rsidP="00C976F6">
      <w:pPr>
        <w:jc w:val="both"/>
      </w:pPr>
      <w:r w:rsidRPr="00C976F6">
        <w:t>Il s’engage, sur toute demande faite par lettre recommandée avec avis de réception postal ou en cas de modification des conditions de sa police d’assurance, à communiquer une attestation de souscription de la police d’assurance en cours de validité.</w:t>
      </w:r>
    </w:p>
    <w:p w14:paraId="22405D69" w14:textId="77777777" w:rsidR="00C976F6" w:rsidRPr="00C976F6" w:rsidRDefault="00C976F6" w:rsidP="00C976F6">
      <w:pPr>
        <w:jc w:val="both"/>
      </w:pPr>
    </w:p>
    <w:p w14:paraId="1A4C5A0A" w14:textId="77777777" w:rsidR="00C976F6" w:rsidRPr="00C976F6" w:rsidRDefault="00C976F6" w:rsidP="00C976F6">
      <w:pPr>
        <w:jc w:val="both"/>
      </w:pPr>
      <w:r w:rsidRPr="00C976F6">
        <w:t>A défaut de production dans un délai de 15 jours ouvrés décomptés à partir de la réception de la demande, le marché pourra être résilié.</w:t>
      </w:r>
    </w:p>
    <w:p w14:paraId="7E2703C0" w14:textId="77777777" w:rsidR="00530785" w:rsidRDefault="00530785" w:rsidP="007341A5">
      <w:pPr>
        <w:pStyle w:val="Titre1"/>
        <w:rPr>
          <w:sz w:val="22"/>
        </w:rPr>
      </w:pPr>
    </w:p>
    <w:p w14:paraId="39C7DFF3" w14:textId="77777777" w:rsidR="000811DA" w:rsidRPr="00C239E2" w:rsidRDefault="000811DA" w:rsidP="007341A5">
      <w:pPr>
        <w:pStyle w:val="Titre1"/>
      </w:pPr>
      <w:bookmarkStart w:id="48" w:name="_Toc25054628"/>
      <w:r w:rsidRPr="00C239E2">
        <w:t>Article 1</w:t>
      </w:r>
      <w:r w:rsidR="005A7527">
        <w:rPr>
          <w:lang w:val="fr-FR"/>
        </w:rPr>
        <w:t>1</w:t>
      </w:r>
      <w:r w:rsidRPr="00C239E2">
        <w:t> : Résiliation du marché</w:t>
      </w:r>
      <w:bookmarkEnd w:id="46"/>
      <w:bookmarkEnd w:id="47"/>
      <w:bookmarkEnd w:id="48"/>
    </w:p>
    <w:p w14:paraId="43E74937" w14:textId="77777777" w:rsidR="00232A69" w:rsidRPr="00C239E2" w:rsidRDefault="00232A69" w:rsidP="00C239E2">
      <w:pPr>
        <w:rPr>
          <w:szCs w:val="22"/>
        </w:rPr>
      </w:pPr>
    </w:p>
    <w:p w14:paraId="1AF097F4" w14:textId="77777777" w:rsidR="00A83A0F" w:rsidRPr="005A7527" w:rsidRDefault="00A83A0F" w:rsidP="00A83A0F">
      <w:pPr>
        <w:pStyle w:val="Corpsdetexte"/>
        <w:spacing w:after="0"/>
        <w:ind w:right="-113"/>
        <w:jc w:val="both"/>
        <w:rPr>
          <w:rFonts w:ascii="Exo Regular" w:hAnsi="Exo Regular"/>
          <w:szCs w:val="22"/>
          <w:lang w:val="fr-FR"/>
        </w:rPr>
      </w:pPr>
      <w:r w:rsidRPr="00FB0F8B">
        <w:rPr>
          <w:rFonts w:ascii="Exo Regular" w:hAnsi="Exo Regular"/>
          <w:szCs w:val="22"/>
        </w:rPr>
        <w:t xml:space="preserve">Le marché peut être résilié dans les cas prévus </w:t>
      </w:r>
      <w:r w:rsidR="005A7527">
        <w:rPr>
          <w:rFonts w:ascii="Exo Regular" w:hAnsi="Exo Regular"/>
          <w:szCs w:val="22"/>
          <w:lang w:val="fr-FR"/>
        </w:rPr>
        <w:t xml:space="preserve">ci-dessous : </w:t>
      </w:r>
    </w:p>
    <w:p w14:paraId="1B021E5F" w14:textId="77777777" w:rsidR="00A83A0F" w:rsidRPr="00FB0F8B" w:rsidRDefault="00A83A0F" w:rsidP="00A83A0F">
      <w:pPr>
        <w:pStyle w:val="Corpsdetexte"/>
        <w:spacing w:after="0"/>
        <w:ind w:right="-113"/>
        <w:jc w:val="both"/>
        <w:rPr>
          <w:rFonts w:ascii="Exo Regular" w:hAnsi="Exo Regular"/>
          <w:szCs w:val="22"/>
        </w:rPr>
      </w:pPr>
    </w:p>
    <w:p w14:paraId="3B53D4DD" w14:textId="77777777" w:rsidR="00A83A0F" w:rsidRPr="00FB0F8B" w:rsidRDefault="005A7527" w:rsidP="005A7527">
      <w:pPr>
        <w:pStyle w:val="Corpsdetexte"/>
        <w:numPr>
          <w:ilvl w:val="0"/>
          <w:numId w:val="37"/>
        </w:numPr>
        <w:spacing w:after="0"/>
        <w:ind w:right="-113"/>
        <w:jc w:val="both"/>
        <w:rPr>
          <w:rFonts w:ascii="Exo Regular" w:hAnsi="Exo Regular"/>
          <w:szCs w:val="22"/>
        </w:rPr>
      </w:pPr>
      <w:r>
        <w:rPr>
          <w:rFonts w:ascii="Exo Regular" w:hAnsi="Exo Regular"/>
          <w:szCs w:val="22"/>
          <w:lang w:val="fr-FR"/>
        </w:rPr>
        <w:t xml:space="preserve">Le </w:t>
      </w:r>
      <w:r w:rsidRPr="00FB0F8B">
        <w:rPr>
          <w:rFonts w:ascii="Exo Regular" w:hAnsi="Exo Regular"/>
          <w:szCs w:val="22"/>
        </w:rPr>
        <w:t>travail</w:t>
      </w:r>
      <w:r w:rsidR="00A83A0F" w:rsidRPr="00FB0F8B">
        <w:rPr>
          <w:rFonts w:ascii="Exo Regular" w:hAnsi="Exo Regular"/>
          <w:szCs w:val="22"/>
        </w:rPr>
        <w:t xml:space="preserve"> dissimulé, conformément aux articles L 8222- 1 à L 8222-6 du code du travail :</w:t>
      </w:r>
    </w:p>
    <w:p w14:paraId="1A19FE86" w14:textId="77777777" w:rsidR="00A83A0F" w:rsidRPr="00FB0F8B" w:rsidRDefault="00A83A0F" w:rsidP="005A7527">
      <w:pPr>
        <w:pStyle w:val="Corpsdetexte"/>
        <w:spacing w:after="0"/>
        <w:ind w:left="720" w:right="-113"/>
        <w:jc w:val="both"/>
        <w:rPr>
          <w:rFonts w:ascii="Exo Regular" w:hAnsi="Exo Regular"/>
          <w:szCs w:val="22"/>
        </w:rPr>
      </w:pPr>
      <w:r w:rsidRPr="00FB0F8B">
        <w:rPr>
          <w:rFonts w:ascii="Exo Regular" w:hAnsi="Exo Regular"/>
          <w:szCs w:val="22"/>
        </w:rPr>
        <w:t xml:space="preserve">1- Le </w:t>
      </w:r>
      <w:r w:rsidR="005A7527">
        <w:rPr>
          <w:rFonts w:ascii="Exo Regular" w:hAnsi="Exo Regular"/>
          <w:szCs w:val="22"/>
          <w:lang w:val="fr-FR"/>
        </w:rPr>
        <w:t>souscripteur</w:t>
      </w:r>
      <w:r w:rsidRPr="00FB0F8B">
        <w:rPr>
          <w:rFonts w:ascii="Exo Regular" w:hAnsi="Exo Regular"/>
          <w:szCs w:val="22"/>
        </w:rPr>
        <w:t xml:space="preserve"> demande au titulaire du marché, tous les six mois jusqu'à la fin de l'exécution du contrat, les mêmes pièces que celles exigées lors de la signature du contrat.</w:t>
      </w:r>
    </w:p>
    <w:p w14:paraId="72462528" w14:textId="77777777" w:rsidR="00A83A0F" w:rsidRPr="00FB0F8B" w:rsidRDefault="00A83A0F" w:rsidP="005A7527">
      <w:pPr>
        <w:pStyle w:val="Corpsdetexte"/>
        <w:spacing w:after="0"/>
        <w:ind w:left="720" w:right="-113"/>
        <w:jc w:val="both"/>
        <w:rPr>
          <w:rFonts w:ascii="Exo Regular" w:hAnsi="Exo Regular"/>
          <w:szCs w:val="22"/>
        </w:rPr>
      </w:pPr>
    </w:p>
    <w:p w14:paraId="080C5E81" w14:textId="77777777" w:rsidR="00A83A0F" w:rsidRPr="00FB0F8B" w:rsidRDefault="00A83A0F" w:rsidP="005A7527">
      <w:pPr>
        <w:pStyle w:val="Corpsdetexte"/>
        <w:spacing w:after="0"/>
        <w:ind w:left="720" w:right="-113"/>
        <w:jc w:val="both"/>
        <w:rPr>
          <w:rFonts w:ascii="Exo Regular" w:hAnsi="Exo Regular"/>
          <w:szCs w:val="22"/>
        </w:rPr>
      </w:pPr>
      <w:r w:rsidRPr="00FB0F8B">
        <w:rPr>
          <w:rFonts w:ascii="Exo Regular" w:hAnsi="Exo Regular"/>
          <w:szCs w:val="22"/>
        </w:rPr>
        <w:t xml:space="preserve">2- Dans le cas où </w:t>
      </w:r>
      <w:r w:rsidR="005A7527">
        <w:rPr>
          <w:rFonts w:ascii="Exo Regular" w:hAnsi="Exo Regular"/>
          <w:szCs w:val="22"/>
          <w:lang w:val="fr-FR"/>
        </w:rPr>
        <w:t>une personne habilitée</w:t>
      </w:r>
      <w:r w:rsidRPr="00FB0F8B">
        <w:rPr>
          <w:rFonts w:ascii="Exo Regular" w:hAnsi="Exo Regular"/>
          <w:szCs w:val="22"/>
        </w:rPr>
        <w:t xml:space="preserve"> lui signale que le titulaire ne res</w:t>
      </w:r>
      <w:r w:rsidR="007112D0" w:rsidRPr="00FB0F8B">
        <w:rPr>
          <w:rFonts w:ascii="Exo Regular" w:hAnsi="Exo Regular"/>
          <w:szCs w:val="22"/>
        </w:rPr>
        <w:t xml:space="preserve">pecte pas </w:t>
      </w:r>
      <w:r w:rsidR="005A7527">
        <w:rPr>
          <w:rFonts w:ascii="Exo Regular" w:hAnsi="Exo Regular"/>
          <w:szCs w:val="22"/>
          <w:lang w:val="fr-FR"/>
        </w:rPr>
        <w:t xml:space="preserve">ses </w:t>
      </w:r>
      <w:r w:rsidR="007112D0" w:rsidRPr="00FB0F8B">
        <w:rPr>
          <w:rFonts w:ascii="Exo Regular" w:hAnsi="Exo Regular"/>
          <w:szCs w:val="22"/>
        </w:rPr>
        <w:t>obligations, l</w:t>
      </w:r>
      <w:r w:rsidR="005A7527">
        <w:rPr>
          <w:rFonts w:ascii="Exo Regular" w:hAnsi="Exo Regular"/>
          <w:szCs w:val="22"/>
          <w:lang w:val="fr-FR"/>
        </w:rPr>
        <w:t>’Institut</w:t>
      </w:r>
      <w:r w:rsidR="005D08EE">
        <w:rPr>
          <w:rFonts w:ascii="Exo Regular" w:hAnsi="Exo Regular"/>
          <w:szCs w:val="22"/>
          <w:lang w:val="fr-FR"/>
        </w:rPr>
        <w:t xml:space="preserve"> </w:t>
      </w:r>
      <w:r w:rsidRPr="00FB0F8B">
        <w:rPr>
          <w:rFonts w:ascii="Exo Regular" w:hAnsi="Exo Regular"/>
          <w:szCs w:val="22"/>
        </w:rPr>
        <w:t>le mettra en demeure</w:t>
      </w:r>
      <w:r w:rsidR="005A7527">
        <w:rPr>
          <w:rFonts w:ascii="Exo Regular" w:hAnsi="Exo Regular"/>
          <w:szCs w:val="22"/>
          <w:lang w:val="fr-FR"/>
        </w:rPr>
        <w:t>,</w:t>
      </w:r>
      <w:r w:rsidRPr="00FB0F8B">
        <w:rPr>
          <w:rFonts w:ascii="Exo Regular" w:hAnsi="Exo Regular"/>
          <w:szCs w:val="22"/>
        </w:rPr>
        <w:t xml:space="preserve"> par lettre recommandée avec accusé de réception</w:t>
      </w:r>
      <w:r w:rsidR="005A7527">
        <w:rPr>
          <w:rFonts w:ascii="Exo Regular" w:hAnsi="Exo Regular"/>
          <w:szCs w:val="22"/>
          <w:lang w:val="fr-FR"/>
        </w:rPr>
        <w:t>,</w:t>
      </w:r>
      <w:r w:rsidRPr="00FB0F8B">
        <w:rPr>
          <w:rFonts w:ascii="Exo Regular" w:hAnsi="Exo Regular"/>
          <w:szCs w:val="22"/>
        </w:rPr>
        <w:t xml:space="preserve"> de régulariser sa situation et d'en apporter la preuve dans un délai de deux mois (fourniture des mêmes pièces justificatives à jour).</w:t>
      </w:r>
    </w:p>
    <w:p w14:paraId="5D922ECA" w14:textId="77777777" w:rsidR="00A83A0F" w:rsidRPr="00FB0F8B" w:rsidRDefault="00A83A0F" w:rsidP="005A7527">
      <w:pPr>
        <w:pStyle w:val="Corpsdetexte"/>
        <w:spacing w:after="0"/>
        <w:ind w:left="720" w:right="-113"/>
        <w:jc w:val="both"/>
        <w:rPr>
          <w:rFonts w:ascii="Exo Regular" w:hAnsi="Exo Regular"/>
          <w:szCs w:val="22"/>
        </w:rPr>
      </w:pPr>
      <w:r w:rsidRPr="00FB0F8B">
        <w:rPr>
          <w:rFonts w:ascii="Exo Regular" w:hAnsi="Exo Regular"/>
          <w:szCs w:val="22"/>
        </w:rPr>
        <w:t xml:space="preserve">Au cas où le titulaire n'aurait pas donné suite à cette injonction, en régularisant la situation, </w:t>
      </w:r>
      <w:r w:rsidR="007112D0" w:rsidRPr="00FB0F8B">
        <w:rPr>
          <w:rFonts w:ascii="Exo Regular" w:hAnsi="Exo Regular"/>
          <w:szCs w:val="22"/>
        </w:rPr>
        <w:t>l</w:t>
      </w:r>
      <w:r w:rsidR="005A7527">
        <w:rPr>
          <w:rFonts w:ascii="Exo Regular" w:hAnsi="Exo Regular"/>
          <w:szCs w:val="22"/>
          <w:lang w:val="fr-FR"/>
        </w:rPr>
        <w:t xml:space="preserve">’institut </w:t>
      </w:r>
      <w:r w:rsidRPr="00FB0F8B">
        <w:rPr>
          <w:rFonts w:ascii="Exo Regular" w:hAnsi="Exo Regular"/>
          <w:szCs w:val="22"/>
        </w:rPr>
        <w:t>peut résilier le marché sans indemnités aux torts du titulaire.</w:t>
      </w:r>
    </w:p>
    <w:p w14:paraId="4C19D080" w14:textId="77777777" w:rsidR="00A83A0F" w:rsidRPr="00FB0F8B" w:rsidRDefault="00A83A0F" w:rsidP="00A83A0F">
      <w:pPr>
        <w:pStyle w:val="Corpsdetexte"/>
        <w:spacing w:after="0"/>
        <w:ind w:right="-113"/>
        <w:jc w:val="both"/>
        <w:rPr>
          <w:rFonts w:ascii="Exo Regular" w:hAnsi="Exo Regular"/>
          <w:szCs w:val="22"/>
        </w:rPr>
      </w:pPr>
    </w:p>
    <w:p w14:paraId="1560A588" w14:textId="77777777" w:rsidR="00A83A0F" w:rsidRPr="00FB0F8B" w:rsidRDefault="005A7527" w:rsidP="005A7527">
      <w:pPr>
        <w:pStyle w:val="Corpsdetexte"/>
        <w:numPr>
          <w:ilvl w:val="0"/>
          <w:numId w:val="37"/>
        </w:numPr>
        <w:spacing w:after="0"/>
        <w:ind w:right="-113"/>
        <w:jc w:val="both"/>
        <w:rPr>
          <w:rFonts w:ascii="Exo Regular" w:hAnsi="Exo Regular"/>
          <w:szCs w:val="22"/>
        </w:rPr>
      </w:pPr>
      <w:r>
        <w:rPr>
          <w:rFonts w:ascii="Exo Regular" w:hAnsi="Exo Regular"/>
          <w:szCs w:val="22"/>
          <w:lang w:val="fr-FR"/>
        </w:rPr>
        <w:t>L</w:t>
      </w:r>
      <w:r w:rsidR="00A83A0F" w:rsidRPr="005A7527">
        <w:rPr>
          <w:rFonts w:ascii="Exo Regular" w:hAnsi="Exo Regular"/>
          <w:szCs w:val="22"/>
          <w:lang w:val="fr-FR"/>
        </w:rPr>
        <w:t>e</w:t>
      </w:r>
      <w:r w:rsidR="00A83A0F" w:rsidRPr="00FB0F8B">
        <w:rPr>
          <w:rFonts w:ascii="Exo Regular" w:hAnsi="Exo Regular"/>
          <w:szCs w:val="22"/>
        </w:rPr>
        <w:t xml:space="preserve"> marché pourra également être résilié pour motif d’intérêt général, sans que</w:t>
      </w:r>
      <w:r w:rsidR="007112D0" w:rsidRPr="00FB0F8B">
        <w:rPr>
          <w:rFonts w:ascii="Exo Regular" w:hAnsi="Exo Regular"/>
          <w:szCs w:val="22"/>
        </w:rPr>
        <w:t xml:space="preserve"> l</w:t>
      </w:r>
      <w:r>
        <w:rPr>
          <w:rFonts w:ascii="Exo Regular" w:hAnsi="Exo Regular"/>
          <w:szCs w:val="22"/>
          <w:lang w:val="fr-FR"/>
        </w:rPr>
        <w:t>’Institut</w:t>
      </w:r>
      <w:r w:rsidR="007112D0" w:rsidRPr="00FB0F8B">
        <w:rPr>
          <w:rFonts w:ascii="Exo Regular" w:hAnsi="Exo Regular"/>
          <w:szCs w:val="22"/>
        </w:rPr>
        <w:t xml:space="preserve"> a</w:t>
      </w:r>
      <w:r w:rsidR="00A83A0F" w:rsidRPr="00FB0F8B">
        <w:rPr>
          <w:rFonts w:ascii="Exo Regular" w:hAnsi="Exo Regular"/>
          <w:szCs w:val="22"/>
        </w:rPr>
        <w:t>it à verser une quelconque indemnité.</w:t>
      </w:r>
    </w:p>
    <w:p w14:paraId="37BAFC84" w14:textId="77777777" w:rsidR="00941A22" w:rsidRDefault="00941A22">
      <w:pPr>
        <w:rPr>
          <w:rFonts w:cs="Arial"/>
          <w:szCs w:val="22"/>
        </w:rPr>
      </w:pPr>
    </w:p>
    <w:p w14:paraId="1B7630F1" w14:textId="77777777" w:rsidR="000811DA" w:rsidRPr="00C239E2" w:rsidRDefault="000811DA" w:rsidP="007341A5">
      <w:pPr>
        <w:pStyle w:val="Titre1"/>
      </w:pPr>
      <w:bookmarkStart w:id="49" w:name="_Toc216168266"/>
      <w:bookmarkStart w:id="50" w:name="_Toc227637621"/>
      <w:bookmarkStart w:id="51" w:name="_Toc25054629"/>
      <w:r w:rsidRPr="00C239E2">
        <w:t>Article 1</w:t>
      </w:r>
      <w:r w:rsidR="005A7527">
        <w:rPr>
          <w:lang w:val="fr-FR"/>
        </w:rPr>
        <w:t>2</w:t>
      </w:r>
      <w:r w:rsidRPr="00C239E2">
        <w:t> : Droit et Langue</w:t>
      </w:r>
      <w:bookmarkEnd w:id="49"/>
      <w:bookmarkEnd w:id="50"/>
      <w:bookmarkEnd w:id="51"/>
      <w:r w:rsidRPr="00C239E2">
        <w:t xml:space="preserve"> </w:t>
      </w:r>
    </w:p>
    <w:p w14:paraId="204050FD" w14:textId="77777777" w:rsidR="00F77848" w:rsidRPr="00C239E2" w:rsidRDefault="00F77848" w:rsidP="00C239E2">
      <w:pPr>
        <w:keepLines/>
        <w:tabs>
          <w:tab w:val="left" w:pos="284"/>
          <w:tab w:val="left" w:pos="567"/>
          <w:tab w:val="left" w:pos="851"/>
        </w:tabs>
        <w:jc w:val="both"/>
        <w:rPr>
          <w:rFonts w:cs="Arial"/>
          <w:noProof/>
          <w:szCs w:val="22"/>
        </w:rPr>
      </w:pPr>
    </w:p>
    <w:p w14:paraId="5E6FBFAB" w14:textId="77777777" w:rsidR="00A83A0F" w:rsidRDefault="000811DA" w:rsidP="00385292">
      <w:pPr>
        <w:keepLines/>
        <w:tabs>
          <w:tab w:val="left" w:pos="284"/>
          <w:tab w:val="left" w:pos="567"/>
          <w:tab w:val="left" w:pos="851"/>
        </w:tabs>
        <w:jc w:val="both"/>
        <w:rPr>
          <w:rFonts w:cs="Arial"/>
          <w:noProof/>
          <w:szCs w:val="22"/>
        </w:rPr>
      </w:pPr>
      <w:r w:rsidRPr="001E6F7B">
        <w:rPr>
          <w:rFonts w:cs="Arial"/>
          <w:noProof/>
          <w:szCs w:val="22"/>
        </w:rPr>
        <w:t>En cas de litige</w:t>
      </w:r>
      <w:r w:rsidR="00FF5783" w:rsidRPr="001E6F7B">
        <w:rPr>
          <w:rFonts w:cs="Arial"/>
          <w:noProof/>
          <w:szCs w:val="22"/>
        </w:rPr>
        <w:t xml:space="preserve"> persistant non résolu par la voie amiable</w:t>
      </w:r>
      <w:r w:rsidR="00473CBA" w:rsidRPr="001E6F7B">
        <w:rPr>
          <w:rFonts w:cs="Arial"/>
          <w:noProof/>
          <w:szCs w:val="22"/>
        </w:rPr>
        <w:t>,</w:t>
      </w:r>
      <w:r w:rsidRPr="001E6F7B">
        <w:rPr>
          <w:rFonts w:cs="Arial"/>
          <w:noProof/>
          <w:szCs w:val="22"/>
        </w:rPr>
        <w:t xml:space="preserve"> </w:t>
      </w:r>
      <w:r w:rsidR="00473CBA" w:rsidRPr="001E6F7B">
        <w:rPr>
          <w:rFonts w:cs="Arial"/>
          <w:noProof/>
          <w:szCs w:val="22"/>
        </w:rPr>
        <w:t>l</w:t>
      </w:r>
      <w:r w:rsidR="00FC7555" w:rsidRPr="001E6F7B">
        <w:rPr>
          <w:rFonts w:cs="Arial"/>
          <w:noProof/>
          <w:szCs w:val="22"/>
        </w:rPr>
        <w:t xml:space="preserve">e Tribunal </w:t>
      </w:r>
      <w:r w:rsidR="001C053E" w:rsidRPr="001E6F7B">
        <w:rPr>
          <w:rFonts w:cs="Arial"/>
          <w:noProof/>
          <w:szCs w:val="22"/>
        </w:rPr>
        <w:t>désigné au Règlement de la Consultation (RC)</w:t>
      </w:r>
      <w:r w:rsidR="00385292" w:rsidRPr="001E6F7B">
        <w:rPr>
          <w:rFonts w:cs="Arial"/>
          <w:noProof/>
          <w:szCs w:val="22"/>
        </w:rPr>
        <w:t xml:space="preserve"> </w:t>
      </w:r>
      <w:r w:rsidR="00FC7555" w:rsidRPr="001E6F7B">
        <w:rPr>
          <w:rFonts w:cs="Arial"/>
          <w:noProof/>
          <w:szCs w:val="22"/>
        </w:rPr>
        <w:t xml:space="preserve">est le seul </w:t>
      </w:r>
      <w:r w:rsidRPr="001E6F7B">
        <w:rPr>
          <w:rFonts w:cs="Arial"/>
          <w:noProof/>
          <w:szCs w:val="22"/>
        </w:rPr>
        <w:t>compétent.</w:t>
      </w:r>
      <w:r w:rsidR="00AC107E">
        <w:rPr>
          <w:rFonts w:cs="Arial"/>
          <w:noProof/>
          <w:szCs w:val="22"/>
        </w:rPr>
        <w:t xml:space="preserve"> L</w:t>
      </w:r>
      <w:r w:rsidR="00FF5783" w:rsidRPr="00C239E2">
        <w:rPr>
          <w:rFonts w:cs="Arial"/>
          <w:noProof/>
          <w:szCs w:val="22"/>
        </w:rPr>
        <w:t>e droit français est seul applicable ; t</w:t>
      </w:r>
      <w:r w:rsidRPr="00C239E2">
        <w:rPr>
          <w:rFonts w:cs="Arial"/>
          <w:noProof/>
          <w:szCs w:val="22"/>
        </w:rPr>
        <w:t>ous les documents, inscriptions sur matériel, correspondances, factures ou modes d’emploi doivent être rédigés en français.</w:t>
      </w:r>
    </w:p>
    <w:p w14:paraId="0018E116" w14:textId="77777777" w:rsidR="00107744" w:rsidRDefault="00107744" w:rsidP="00385292">
      <w:pPr>
        <w:keepLines/>
        <w:tabs>
          <w:tab w:val="left" w:pos="284"/>
          <w:tab w:val="left" w:pos="567"/>
          <w:tab w:val="left" w:pos="851"/>
        </w:tabs>
        <w:jc w:val="both"/>
        <w:rPr>
          <w:rFonts w:cs="Arial"/>
          <w:noProof/>
          <w:szCs w:val="22"/>
        </w:rPr>
      </w:pPr>
    </w:p>
    <w:p w14:paraId="557FB3ED" w14:textId="77777777" w:rsidR="00107744" w:rsidRPr="005A7527" w:rsidRDefault="00107744" w:rsidP="005A7527">
      <w:pPr>
        <w:pStyle w:val="Titre1"/>
      </w:pPr>
    </w:p>
    <w:sectPr w:rsidR="00107744" w:rsidRPr="005A7527" w:rsidSect="00C239E2">
      <w:headerReference w:type="default" r:id="rId9"/>
      <w:pgSz w:w="12240" w:h="15840"/>
      <w:pgMar w:top="1417" w:right="146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CC7C" w14:textId="77777777" w:rsidR="0098457C" w:rsidRDefault="0098457C" w:rsidP="001B523F">
      <w:r>
        <w:separator/>
      </w:r>
    </w:p>
  </w:endnote>
  <w:endnote w:type="continuationSeparator" w:id="0">
    <w:p w14:paraId="3FC9B4C6" w14:textId="77777777" w:rsidR="0098457C" w:rsidRDefault="0098457C" w:rsidP="001B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xo Regular">
    <w:altName w:val="Cambria Math"/>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697E" w14:textId="77777777" w:rsidR="0098457C" w:rsidRDefault="0098457C" w:rsidP="001B523F">
      <w:r>
        <w:separator/>
      </w:r>
    </w:p>
  </w:footnote>
  <w:footnote w:type="continuationSeparator" w:id="0">
    <w:p w14:paraId="7F8066EE" w14:textId="77777777" w:rsidR="0098457C" w:rsidRDefault="0098457C" w:rsidP="001B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0A12" w14:textId="77777777" w:rsidR="004441B5" w:rsidRPr="00317CFF" w:rsidRDefault="00CE1399" w:rsidP="0007584B">
    <w:pPr>
      <w:pStyle w:val="En-tte"/>
      <w:tabs>
        <w:tab w:val="clear" w:pos="4536"/>
        <w:tab w:val="clear" w:pos="9072"/>
      </w:tabs>
      <w:jc w:val="center"/>
      <w:rPr>
        <w:rFonts w:ascii="Exo Regular" w:hAnsi="Exo Regular"/>
        <w:b/>
        <w:i/>
        <w:iCs/>
        <w:color w:val="7F7F7F"/>
        <w:sz w:val="20"/>
      </w:rPr>
    </w:pPr>
    <w:r w:rsidRPr="00317CFF">
      <w:rPr>
        <w:rFonts w:ascii="Exo Regular" w:hAnsi="Exo Regular"/>
        <w:i/>
        <w:iCs/>
        <w:noProof/>
      </w:rPr>
      <w:pict w14:anchorId="21FE4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2" type="#_x0000_t75" alt="Nouvelle image" style="position:absolute;left:0;text-align:left;margin-left:46.85pt;margin-top:-60.65pt;width:23.8pt;height:27.55pt;z-index:2;visibility:visible;mso-position-horizontal-relative:page;mso-position-vertical-relative:page">
          <v:imagedata r:id="rId1" o:title="Nouvelle image"/>
          <w10:wrap type="square" anchorx="margin" anchory="margin"/>
        </v:shape>
      </w:pict>
    </w:r>
    <w:r w:rsidR="00165CEC" w:rsidRPr="00317CFF">
      <w:rPr>
        <w:rFonts w:ascii="Exo Regular" w:hAnsi="Exo Regular"/>
        <w:i/>
        <w:iCs/>
        <w:noProof/>
      </w:rPr>
      <w:pict w14:anchorId="339C43C2">
        <v:oval id="Oval 2" o:spid="_x0000_s2049" style="position:absolute;left:0;text-align:left;margin-left:540.75pt;margin-top:211pt;width:37.6pt;height:37.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" o:allowincell="f" fillcolor="#551b39" stroked="f">
          <v:textbox inset="0,,0">
            <w:txbxContent>
              <w:p w14:paraId="0CE04172" w14:textId="77777777" w:rsidR="004441B5" w:rsidRPr="00775DD7" w:rsidRDefault="00165CEC" w:rsidP="00C239E2">
                <w:pPr>
                  <w:rPr>
                    <w:rStyle w:val="Numrodepage"/>
                    <w:color w:val="FFFFFF"/>
                    <w:szCs w:val="24"/>
                  </w:rPr>
                </w:pPr>
                <w:r w:rsidRPr="00165CEC">
                  <w:fldChar w:fldCharType="begin"/>
                </w:r>
                <w:r w:rsidR="004441B5">
                  <w:instrText>PAGE    \* MERGEFORMAT</w:instrText>
                </w:r>
                <w:r w:rsidRPr="00165CEC">
                  <w:fldChar w:fldCharType="separate"/>
                </w:r>
                <w:r w:rsidR="0081486A" w:rsidRPr="0081486A">
                  <w:rPr>
                    <w:rStyle w:val="Numrodepage"/>
                    <w:b/>
                    <w:bCs/>
                    <w:noProof/>
                    <w:color w:val="FFFFFF"/>
                    <w:sz w:val="24"/>
                    <w:szCs w:val="24"/>
                  </w:rPr>
                  <w:t>7</w:t>
                </w:r>
                <w:r w:rsidRPr="00775DD7">
                  <w:rPr>
                    <w:rStyle w:val="Numrodepage"/>
                    <w:b/>
                    <w:bCs/>
                    <w:color w:val="FFFFFF"/>
                    <w:sz w:val="24"/>
                    <w:szCs w:val="24"/>
                  </w:rPr>
                  <w:fldChar w:fldCharType="end"/>
                </w:r>
              </w:p>
            </w:txbxContent>
          </v:textbox>
          <w10:wrap anchorx="page" anchory="page"/>
        </v:oval>
      </w:pict>
    </w:r>
    <w:r w:rsidR="004441B5" w:rsidRPr="00317CFF">
      <w:rPr>
        <w:rFonts w:ascii="Exo Regular" w:hAnsi="Exo Regular"/>
        <w:b/>
        <w:i/>
        <w:iCs/>
        <w:color w:val="7F7F7F"/>
        <w:sz w:val="20"/>
      </w:rPr>
      <w:t xml:space="preserve">CAHIER DES CLAUSES ADMINISTRATIVES ET PARTICULIERES </w:t>
    </w:r>
    <w:r w:rsidR="000E14F8" w:rsidRPr="00317CFF">
      <w:rPr>
        <w:rFonts w:ascii="Exo Regular" w:hAnsi="Exo Regular"/>
        <w:b/>
        <w:i/>
        <w:iCs/>
        <w:color w:val="7F7F7F"/>
        <w:sz w:val="20"/>
      </w:rPr>
      <w:t>–</w:t>
    </w:r>
    <w:r w:rsidR="004441B5" w:rsidRPr="00317CFF">
      <w:rPr>
        <w:rFonts w:ascii="Exo Regular" w:hAnsi="Exo Regular"/>
        <w:b/>
        <w:i/>
        <w:iCs/>
        <w:color w:val="7F7F7F"/>
        <w:sz w:val="20"/>
      </w:rPr>
      <w:t xml:space="preserve"> </w:t>
    </w:r>
    <w:r w:rsidR="00776864" w:rsidRPr="00317CFF">
      <w:rPr>
        <w:rFonts w:ascii="Exo Regular" w:hAnsi="Exo Regular"/>
        <w:b/>
        <w:i/>
        <w:iCs/>
        <w:color w:val="7F7F7F"/>
        <w:sz w:val="20"/>
        <w:lang w:val="fr-FR"/>
      </w:rPr>
      <w:t>ICM</w:t>
    </w:r>
    <w:r w:rsidR="007A1429" w:rsidRPr="00317CFF">
      <w:rPr>
        <w:rFonts w:ascii="Exo Regular" w:hAnsi="Exo Regular"/>
        <w:b/>
        <w:i/>
        <w:iCs/>
        <w:color w:val="7F7F7F"/>
        <w:sz w:val="20"/>
        <w:lang w:val="fr-FR"/>
      </w:rPr>
      <w:t xml:space="preserve"> </w:t>
    </w:r>
    <w:r w:rsidR="004441B5" w:rsidRPr="00317CFF">
      <w:rPr>
        <w:rFonts w:ascii="Exo Regular" w:hAnsi="Exo Regular"/>
        <w:b/>
        <w:i/>
        <w:iCs/>
        <w:color w:val="7F7F7F"/>
        <w:sz w:val="20"/>
      </w:rPr>
      <w:t>– MARCHE D’ASSURANCES</w:t>
    </w:r>
  </w:p>
  <w:p w14:paraId="0CE12F48" w14:textId="77777777" w:rsidR="004441B5" w:rsidRDefault="004441B5" w:rsidP="00C239E2">
    <w:pPr>
      <w:pStyle w:val="En-tte"/>
      <w:jc w:val="right"/>
      <w:rPr>
        <w:b/>
        <w:color w:val="7F7F7F"/>
        <w:sz w:val="20"/>
      </w:rPr>
    </w:pPr>
  </w:p>
  <w:p w14:paraId="35DF8F5C" w14:textId="77777777" w:rsidR="004441B5" w:rsidRDefault="004441B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41C6"/>
      </v:shape>
    </w:pict>
  </w:numPicBullet>
  <w:abstractNum w:abstractNumId="0" w15:restartNumberingAfterBreak="0">
    <w:nsid w:val="00DC1C9D"/>
    <w:multiLevelType w:val="hybridMultilevel"/>
    <w:tmpl w:val="D270C642"/>
    <w:lvl w:ilvl="0" w:tplc="79820E02">
      <w:start w:val="7"/>
      <w:numFmt w:val="bullet"/>
      <w:lvlText w:val=""/>
      <w:lvlJc w:val="left"/>
      <w:pPr>
        <w:tabs>
          <w:tab w:val="num" w:pos="927"/>
        </w:tabs>
        <w:ind w:left="567" w:firstLine="0"/>
      </w:pPr>
      <w:rPr>
        <w:rFonts w:ascii="Symbol" w:hAnsi="Symbol"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4766371"/>
    <w:multiLevelType w:val="hybridMultilevel"/>
    <w:tmpl w:val="676284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71FA1"/>
    <w:multiLevelType w:val="hybridMultilevel"/>
    <w:tmpl w:val="E3024AA2"/>
    <w:lvl w:ilvl="0" w:tplc="34B4330C">
      <w:start w:val="6"/>
      <w:numFmt w:val="bullet"/>
      <w:lvlText w:val="-"/>
      <w:lvlJc w:val="left"/>
      <w:pPr>
        <w:ind w:left="786" w:hanging="360"/>
      </w:pPr>
      <w:rPr>
        <w:rFonts w:ascii="Arial Narrow" w:eastAsia="Times New Roman" w:hAnsi="Arial Narrow"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06A50A65"/>
    <w:multiLevelType w:val="hybridMultilevel"/>
    <w:tmpl w:val="5FB41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767064"/>
    <w:multiLevelType w:val="hybridMultilevel"/>
    <w:tmpl w:val="4C302684"/>
    <w:lvl w:ilvl="0" w:tplc="0150B3AC">
      <w:start w:val="2"/>
      <w:numFmt w:val="bullet"/>
      <w:lvlText w:val="-"/>
      <w:lvlJc w:val="left"/>
      <w:pPr>
        <w:ind w:left="786" w:hanging="360"/>
      </w:pPr>
      <w:rPr>
        <w:rFonts w:ascii="Calibri" w:eastAsia="Calibri" w:hAnsi="Calibri"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0E3B3050"/>
    <w:multiLevelType w:val="hybridMultilevel"/>
    <w:tmpl w:val="0A56F358"/>
    <w:lvl w:ilvl="0" w:tplc="C7849F34">
      <w:numFmt w:val="bullet"/>
      <w:lvlText w:val="-"/>
      <w:lvlJc w:val="left"/>
      <w:pPr>
        <w:ind w:left="720" w:hanging="360"/>
      </w:pPr>
      <w:rPr>
        <w:rFonts w:ascii="Exo Regular" w:eastAsia="Calibri" w:hAnsi="Exo 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C227B8"/>
    <w:multiLevelType w:val="multilevel"/>
    <w:tmpl w:val="0C90307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CC90F4C"/>
    <w:multiLevelType w:val="hybridMultilevel"/>
    <w:tmpl w:val="0C683414"/>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9" w15:restartNumberingAfterBreak="0">
    <w:nsid w:val="23F36CD2"/>
    <w:multiLevelType w:val="hybridMultilevel"/>
    <w:tmpl w:val="F662C10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61360D2"/>
    <w:multiLevelType w:val="hybridMultilevel"/>
    <w:tmpl w:val="9FB46E98"/>
    <w:lvl w:ilvl="0" w:tplc="7C38D136">
      <w:start w:val="2"/>
      <w:numFmt w:val="bullet"/>
      <w:lvlText w:val="-"/>
      <w:lvlJc w:val="left"/>
      <w:pPr>
        <w:ind w:left="786" w:hanging="360"/>
      </w:pPr>
      <w:rPr>
        <w:rFonts w:ascii="Exo Regular" w:eastAsia="Times New Roman" w:hAnsi="Exo Regular"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2AC62F74"/>
    <w:multiLevelType w:val="hybridMultilevel"/>
    <w:tmpl w:val="7B24A98E"/>
    <w:lvl w:ilvl="0" w:tplc="040C000D">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D474BC1"/>
    <w:multiLevelType w:val="hybridMultilevel"/>
    <w:tmpl w:val="DAE8B0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706751"/>
    <w:multiLevelType w:val="hybridMultilevel"/>
    <w:tmpl w:val="5C602D4E"/>
    <w:lvl w:ilvl="0" w:tplc="E5965034">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360777EE"/>
    <w:multiLevelType w:val="hybridMultilevel"/>
    <w:tmpl w:val="5D982E4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389A2F15"/>
    <w:multiLevelType w:val="hybridMultilevel"/>
    <w:tmpl w:val="6360EB34"/>
    <w:lvl w:ilvl="0" w:tplc="206670C2">
      <w:start w:val="12"/>
      <w:numFmt w:val="bullet"/>
      <w:lvlText w:val="-"/>
      <w:lvlJc w:val="left"/>
      <w:pPr>
        <w:ind w:left="720" w:hanging="360"/>
      </w:pPr>
      <w:rPr>
        <w:rFonts w:ascii="Exo Regular" w:eastAsia="Times New Roman" w:hAnsi="Exo 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B3E1E"/>
    <w:multiLevelType w:val="hybridMultilevel"/>
    <w:tmpl w:val="A9F25AAC"/>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D2C2A"/>
    <w:multiLevelType w:val="hybridMultilevel"/>
    <w:tmpl w:val="E856BC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212E5"/>
    <w:multiLevelType w:val="hybridMultilevel"/>
    <w:tmpl w:val="121874F6"/>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40A53D78"/>
    <w:multiLevelType w:val="hybridMultilevel"/>
    <w:tmpl w:val="64D84584"/>
    <w:lvl w:ilvl="0" w:tplc="A36AA4D6">
      <w:numFmt w:val="bullet"/>
      <w:lvlText w:val="-"/>
      <w:lvlJc w:val="left"/>
      <w:pPr>
        <w:ind w:left="720" w:hanging="360"/>
      </w:pPr>
      <w:rPr>
        <w:rFonts w:ascii="Exo Regular" w:eastAsia="Times New Roman" w:hAnsi="Exo Regular" w:cs="Times New Roman" w:hint="default"/>
      </w:rPr>
    </w:lvl>
    <w:lvl w:ilvl="1" w:tplc="A36AA4D6">
      <w:numFmt w:val="bullet"/>
      <w:lvlText w:val="-"/>
      <w:lvlJc w:val="left"/>
      <w:pPr>
        <w:ind w:left="1440" w:hanging="360"/>
      </w:pPr>
      <w:rPr>
        <w:rFonts w:ascii="Exo Regular" w:eastAsia="Times New Roman" w:hAnsi="Exo Regular"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683521"/>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1" w15:restartNumberingAfterBreak="0">
    <w:nsid w:val="46F27768"/>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2" w15:restartNumberingAfterBreak="0">
    <w:nsid w:val="506B5237"/>
    <w:multiLevelType w:val="hybridMultilevel"/>
    <w:tmpl w:val="B8E605BC"/>
    <w:lvl w:ilvl="0" w:tplc="040C000B">
      <w:start w:val="1"/>
      <w:numFmt w:val="bullet"/>
      <w:lvlText w:val=""/>
      <w:lvlJc w:val="left"/>
      <w:pPr>
        <w:tabs>
          <w:tab w:val="num" w:pos="720"/>
        </w:tabs>
        <w:ind w:left="720" w:hanging="360"/>
      </w:pPr>
      <w:rPr>
        <w:rFonts w:ascii="Wingdings" w:hAnsi="Wingdings" w:hint="default"/>
      </w:rPr>
    </w:lvl>
    <w:lvl w:ilvl="1" w:tplc="32788658">
      <w:start w:val="1"/>
      <w:numFmt w:val="bullet"/>
      <w:lvlText w:val=""/>
      <w:legacy w:legacy="1" w:legacySpace="360" w:legacyIndent="283"/>
      <w:lvlJc w:val="left"/>
      <w:pPr>
        <w:ind w:left="1363" w:hanging="283"/>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023DEB"/>
    <w:multiLevelType w:val="hybridMultilevel"/>
    <w:tmpl w:val="20943C72"/>
    <w:lvl w:ilvl="0" w:tplc="4C46A4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A45C13"/>
    <w:multiLevelType w:val="hybridMultilevel"/>
    <w:tmpl w:val="82D23162"/>
    <w:lvl w:ilvl="0" w:tplc="DCF66372">
      <w:start w:val="1"/>
      <w:numFmt w:val="bullet"/>
      <w:lvlText w:val=""/>
      <w:lvlJc w:val="left"/>
      <w:pPr>
        <w:tabs>
          <w:tab w:val="num" w:pos="2368"/>
        </w:tabs>
        <w:ind w:left="2368" w:hanging="360"/>
      </w:pPr>
      <w:rPr>
        <w:rFonts w:ascii="Symbol" w:hAnsi="Symbol" w:hint="default"/>
        <w:color w:val="auto"/>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32598"/>
    <w:multiLevelType w:val="hybridMultilevel"/>
    <w:tmpl w:val="E2D49874"/>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15:restartNumberingAfterBreak="0">
    <w:nsid w:val="64E742AF"/>
    <w:multiLevelType w:val="hybridMultilevel"/>
    <w:tmpl w:val="D062C652"/>
    <w:lvl w:ilvl="0" w:tplc="5B22C0F8">
      <w:numFmt w:val="bullet"/>
      <w:lvlText w:val="-"/>
      <w:lvlJc w:val="left"/>
      <w:pPr>
        <w:ind w:left="1069" w:hanging="360"/>
      </w:pPr>
      <w:rPr>
        <w:rFonts w:ascii="Calibri" w:eastAsia="Calibri" w:hAnsi="Calibri"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15:restartNumberingAfterBreak="0">
    <w:nsid w:val="6ADE21B2"/>
    <w:multiLevelType w:val="hybridMultilevel"/>
    <w:tmpl w:val="575CBD9A"/>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6BD16EFA"/>
    <w:multiLevelType w:val="hybridMultilevel"/>
    <w:tmpl w:val="6F7C47AC"/>
    <w:lvl w:ilvl="0" w:tplc="4C46A4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C27A9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0" w15:restartNumberingAfterBreak="0">
    <w:nsid w:val="74FC381F"/>
    <w:multiLevelType w:val="hybridMultilevel"/>
    <w:tmpl w:val="BD46CD86"/>
    <w:lvl w:ilvl="0" w:tplc="7E0E5314">
      <w:start w:val="1"/>
      <w:numFmt w:val="bullet"/>
      <w:lvlText w:val="-"/>
      <w:lvlJc w:val="left"/>
      <w:pPr>
        <w:ind w:left="786" w:hanging="360"/>
      </w:pPr>
      <w:rPr>
        <w:rFonts w:ascii="Exo Regular" w:eastAsia="Calibri" w:hAnsi="Exo Regular"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766D10BD"/>
    <w:multiLevelType w:val="hybridMultilevel"/>
    <w:tmpl w:val="85A46C44"/>
    <w:lvl w:ilvl="0" w:tplc="79820E02">
      <w:start w:val="7"/>
      <w:numFmt w:val="bullet"/>
      <w:lvlText w:val=""/>
      <w:lvlJc w:val="left"/>
      <w:pPr>
        <w:tabs>
          <w:tab w:val="num" w:pos="927"/>
        </w:tabs>
        <w:ind w:left="567" w:firstLine="0"/>
      </w:pPr>
      <w:rPr>
        <w:rFonts w:ascii="Symbol" w:hAnsi="Symbol" w:hint="default"/>
      </w:rPr>
    </w:lvl>
    <w:lvl w:ilvl="1" w:tplc="040C0003">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79B2032F"/>
    <w:multiLevelType w:val="hybridMultilevel"/>
    <w:tmpl w:val="B448A5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3F402E"/>
    <w:multiLevelType w:val="hybridMultilevel"/>
    <w:tmpl w:val="58E016FA"/>
    <w:lvl w:ilvl="0" w:tplc="95F09B1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C504A22"/>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5" w15:restartNumberingAfterBreak="0">
    <w:nsid w:val="7D5A3462"/>
    <w:multiLevelType w:val="hybridMultilevel"/>
    <w:tmpl w:val="C0589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2A6F5E"/>
    <w:multiLevelType w:val="hybridMultilevel"/>
    <w:tmpl w:val="856CF0F8"/>
    <w:lvl w:ilvl="0" w:tplc="4C46A4CC">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9"/>
  </w:num>
  <w:num w:numId="2">
    <w:abstractNumId w:val="21"/>
  </w:num>
  <w:num w:numId="3">
    <w:abstractNumId w:val="31"/>
  </w:num>
  <w:num w:numId="4">
    <w:abstractNumId w:val="34"/>
  </w:num>
  <w:num w:numId="5">
    <w:abstractNumId w:val="0"/>
  </w:num>
  <w:num w:numId="6">
    <w:abstractNumId w:val="20"/>
  </w:num>
  <w:num w:numId="7">
    <w:abstractNumId w:val="7"/>
  </w:num>
  <w:num w:numId="8">
    <w:abstractNumId w:val="1"/>
  </w:num>
  <w:num w:numId="9">
    <w:abstractNumId w:val="4"/>
  </w:num>
  <w:num w:numId="10">
    <w:abstractNumId w:val="15"/>
  </w:num>
  <w:num w:numId="11">
    <w:abstractNumId w:val="27"/>
  </w:num>
  <w:num w:numId="12">
    <w:abstractNumId w:val="25"/>
  </w:num>
  <w:num w:numId="13">
    <w:abstractNumId w:val="9"/>
  </w:num>
  <w:num w:numId="14">
    <w:abstractNumId w:val="26"/>
  </w:num>
  <w:num w:numId="15">
    <w:abstractNumId w:val="16"/>
  </w:num>
  <w:num w:numId="16">
    <w:abstractNumId w:val="32"/>
  </w:num>
  <w:num w:numId="17">
    <w:abstractNumId w:val="18"/>
  </w:num>
  <w:num w:numId="18">
    <w:abstractNumId w:val="14"/>
  </w:num>
  <w:num w:numId="19">
    <w:abstractNumId w:val="11"/>
  </w:num>
  <w:num w:numId="20">
    <w:abstractNumId w:val="23"/>
  </w:num>
  <w:num w:numId="21">
    <w:abstractNumId w:val="2"/>
  </w:num>
  <w:num w:numId="22">
    <w:abstractNumId w:val="17"/>
  </w:num>
  <w:num w:numId="23">
    <w:abstractNumId w:val="36"/>
  </w:num>
  <w:num w:numId="24">
    <w:abstractNumId w:val="28"/>
  </w:num>
  <w:num w:numId="25">
    <w:abstractNumId w:val="6"/>
  </w:num>
  <w:num w:numId="26">
    <w:abstractNumId w:val="24"/>
  </w:num>
  <w:num w:numId="27">
    <w:abstractNumId w:val="8"/>
  </w:num>
  <w:num w:numId="28">
    <w:abstractNumId w:val="22"/>
  </w:num>
  <w:num w:numId="29">
    <w:abstractNumId w:val="10"/>
  </w:num>
  <w:num w:numId="30">
    <w:abstractNumId w:val="35"/>
  </w:num>
  <w:num w:numId="31">
    <w:abstractNumId w:val="3"/>
  </w:num>
  <w:num w:numId="32">
    <w:abstractNumId w:val="30"/>
  </w:num>
  <w:num w:numId="33">
    <w:abstractNumId w:val="5"/>
  </w:num>
  <w:num w:numId="34">
    <w:abstractNumId w:val="19"/>
  </w:num>
  <w:num w:numId="35">
    <w:abstractNumId w:val="13"/>
  </w:num>
  <w:num w:numId="36">
    <w:abstractNumId w:val="33"/>
    <w:lvlOverride w:ilvl="0"/>
    <w:lvlOverride w:ilvl="1"/>
    <w:lvlOverride w:ilvl="2"/>
    <w:lvlOverride w:ilvl="3"/>
    <w:lvlOverride w:ilvl="4"/>
    <w:lvlOverride w:ilvl="5"/>
    <w:lvlOverride w:ilvl="6"/>
    <w:lvlOverride w:ilvl="7"/>
    <w:lvlOverride w:ilvl="8"/>
  </w:num>
  <w:num w:numId="3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C6F"/>
    <w:rsid w:val="00003F23"/>
    <w:rsid w:val="00006B65"/>
    <w:rsid w:val="0000709C"/>
    <w:rsid w:val="00010848"/>
    <w:rsid w:val="00011F9A"/>
    <w:rsid w:val="00024131"/>
    <w:rsid w:val="00033798"/>
    <w:rsid w:val="0004065E"/>
    <w:rsid w:val="0004715B"/>
    <w:rsid w:val="000477EB"/>
    <w:rsid w:val="00056A0B"/>
    <w:rsid w:val="00057828"/>
    <w:rsid w:val="00057970"/>
    <w:rsid w:val="000601AA"/>
    <w:rsid w:val="00070307"/>
    <w:rsid w:val="00073819"/>
    <w:rsid w:val="0007584B"/>
    <w:rsid w:val="000811DA"/>
    <w:rsid w:val="00082997"/>
    <w:rsid w:val="000919C1"/>
    <w:rsid w:val="0009276A"/>
    <w:rsid w:val="000A419F"/>
    <w:rsid w:val="000A68C1"/>
    <w:rsid w:val="000A750D"/>
    <w:rsid w:val="000B46F3"/>
    <w:rsid w:val="000B5E4A"/>
    <w:rsid w:val="000B7542"/>
    <w:rsid w:val="000C01B3"/>
    <w:rsid w:val="000C293F"/>
    <w:rsid w:val="000D02E1"/>
    <w:rsid w:val="000D1FE1"/>
    <w:rsid w:val="000D27C3"/>
    <w:rsid w:val="000D5B7C"/>
    <w:rsid w:val="000E14F8"/>
    <w:rsid w:val="000E2398"/>
    <w:rsid w:val="000E257F"/>
    <w:rsid w:val="000E4375"/>
    <w:rsid w:val="000E4CE8"/>
    <w:rsid w:val="000E5AAA"/>
    <w:rsid w:val="001018E1"/>
    <w:rsid w:val="00107744"/>
    <w:rsid w:val="0011135B"/>
    <w:rsid w:val="00114226"/>
    <w:rsid w:val="00117FE2"/>
    <w:rsid w:val="001214F7"/>
    <w:rsid w:val="00126793"/>
    <w:rsid w:val="00127A5E"/>
    <w:rsid w:val="00131335"/>
    <w:rsid w:val="00132698"/>
    <w:rsid w:val="00134BDC"/>
    <w:rsid w:val="00144290"/>
    <w:rsid w:val="00145B79"/>
    <w:rsid w:val="0016463A"/>
    <w:rsid w:val="00165CEC"/>
    <w:rsid w:val="00171CF8"/>
    <w:rsid w:val="00173A9C"/>
    <w:rsid w:val="00174C86"/>
    <w:rsid w:val="00176304"/>
    <w:rsid w:val="00183C85"/>
    <w:rsid w:val="001A767B"/>
    <w:rsid w:val="001B523F"/>
    <w:rsid w:val="001B6DEE"/>
    <w:rsid w:val="001C053E"/>
    <w:rsid w:val="001C72B8"/>
    <w:rsid w:val="001C7492"/>
    <w:rsid w:val="001C7597"/>
    <w:rsid w:val="001D1947"/>
    <w:rsid w:val="001D2107"/>
    <w:rsid w:val="001D47EF"/>
    <w:rsid w:val="001E6F7B"/>
    <w:rsid w:val="001F11A1"/>
    <w:rsid w:val="001F1EE1"/>
    <w:rsid w:val="0021330D"/>
    <w:rsid w:val="00213A4C"/>
    <w:rsid w:val="00214EEF"/>
    <w:rsid w:val="002151E9"/>
    <w:rsid w:val="002200A8"/>
    <w:rsid w:val="0022189F"/>
    <w:rsid w:val="00224C7C"/>
    <w:rsid w:val="002302A7"/>
    <w:rsid w:val="00232A69"/>
    <w:rsid w:val="0024025D"/>
    <w:rsid w:val="00244D9E"/>
    <w:rsid w:val="002502DD"/>
    <w:rsid w:val="002541A2"/>
    <w:rsid w:val="00262B03"/>
    <w:rsid w:val="00272222"/>
    <w:rsid w:val="00273140"/>
    <w:rsid w:val="00274FA1"/>
    <w:rsid w:val="002927DC"/>
    <w:rsid w:val="00295C66"/>
    <w:rsid w:val="00296963"/>
    <w:rsid w:val="002A10F7"/>
    <w:rsid w:val="002A3EF8"/>
    <w:rsid w:val="002B1DF6"/>
    <w:rsid w:val="002B3C83"/>
    <w:rsid w:val="002B4012"/>
    <w:rsid w:val="002B5564"/>
    <w:rsid w:val="002B5784"/>
    <w:rsid w:val="002C1E33"/>
    <w:rsid w:val="002C6BC8"/>
    <w:rsid w:val="002C6DA5"/>
    <w:rsid w:val="002D1D0D"/>
    <w:rsid w:val="002E1F9A"/>
    <w:rsid w:val="002F5CDB"/>
    <w:rsid w:val="003023C9"/>
    <w:rsid w:val="00302CD5"/>
    <w:rsid w:val="00304B90"/>
    <w:rsid w:val="00305C6B"/>
    <w:rsid w:val="00314DA7"/>
    <w:rsid w:val="003154AD"/>
    <w:rsid w:val="00316F8E"/>
    <w:rsid w:val="00317CFF"/>
    <w:rsid w:val="003200FC"/>
    <w:rsid w:val="00320ACF"/>
    <w:rsid w:val="00327BD2"/>
    <w:rsid w:val="0033572E"/>
    <w:rsid w:val="00343064"/>
    <w:rsid w:val="0034601E"/>
    <w:rsid w:val="00355CE8"/>
    <w:rsid w:val="00376001"/>
    <w:rsid w:val="003761AC"/>
    <w:rsid w:val="00385292"/>
    <w:rsid w:val="00391538"/>
    <w:rsid w:val="00391C23"/>
    <w:rsid w:val="00393DB6"/>
    <w:rsid w:val="0039621C"/>
    <w:rsid w:val="003A5F44"/>
    <w:rsid w:val="003A638F"/>
    <w:rsid w:val="003A672B"/>
    <w:rsid w:val="003B5037"/>
    <w:rsid w:val="003B54E3"/>
    <w:rsid w:val="003C50BC"/>
    <w:rsid w:val="003C541C"/>
    <w:rsid w:val="003C6C56"/>
    <w:rsid w:val="003C78F8"/>
    <w:rsid w:val="003D089D"/>
    <w:rsid w:val="003D1357"/>
    <w:rsid w:val="003D4C7D"/>
    <w:rsid w:val="003E08C3"/>
    <w:rsid w:val="003E3FD5"/>
    <w:rsid w:val="003F03ED"/>
    <w:rsid w:val="003F2980"/>
    <w:rsid w:val="003F47AC"/>
    <w:rsid w:val="003F4FDD"/>
    <w:rsid w:val="00401CC8"/>
    <w:rsid w:val="00407697"/>
    <w:rsid w:val="004246F0"/>
    <w:rsid w:val="004261BD"/>
    <w:rsid w:val="00440C26"/>
    <w:rsid w:val="004441B5"/>
    <w:rsid w:val="00456A11"/>
    <w:rsid w:val="004610E6"/>
    <w:rsid w:val="004612A9"/>
    <w:rsid w:val="00463F2F"/>
    <w:rsid w:val="004703C9"/>
    <w:rsid w:val="00473CBA"/>
    <w:rsid w:val="00476B5C"/>
    <w:rsid w:val="00482AEF"/>
    <w:rsid w:val="00491EA3"/>
    <w:rsid w:val="00492E31"/>
    <w:rsid w:val="00493E7A"/>
    <w:rsid w:val="004A0925"/>
    <w:rsid w:val="004A1491"/>
    <w:rsid w:val="004B2184"/>
    <w:rsid w:val="004C01DD"/>
    <w:rsid w:val="004C44E5"/>
    <w:rsid w:val="004D521A"/>
    <w:rsid w:val="004D6615"/>
    <w:rsid w:val="004D7733"/>
    <w:rsid w:val="004F2470"/>
    <w:rsid w:val="004F2977"/>
    <w:rsid w:val="004F6AAA"/>
    <w:rsid w:val="005020FF"/>
    <w:rsid w:val="005027B1"/>
    <w:rsid w:val="00510BE2"/>
    <w:rsid w:val="005156E5"/>
    <w:rsid w:val="00521BE9"/>
    <w:rsid w:val="005234EE"/>
    <w:rsid w:val="005250E8"/>
    <w:rsid w:val="005277A8"/>
    <w:rsid w:val="00530785"/>
    <w:rsid w:val="00531C44"/>
    <w:rsid w:val="0053474B"/>
    <w:rsid w:val="005355F8"/>
    <w:rsid w:val="005360E1"/>
    <w:rsid w:val="00544D86"/>
    <w:rsid w:val="0055170F"/>
    <w:rsid w:val="00554E34"/>
    <w:rsid w:val="005612A1"/>
    <w:rsid w:val="00561AB9"/>
    <w:rsid w:val="0056466F"/>
    <w:rsid w:val="0057189B"/>
    <w:rsid w:val="00571EE9"/>
    <w:rsid w:val="00573928"/>
    <w:rsid w:val="00575C64"/>
    <w:rsid w:val="0057711C"/>
    <w:rsid w:val="00582CE3"/>
    <w:rsid w:val="00594EF6"/>
    <w:rsid w:val="00595745"/>
    <w:rsid w:val="005A02F8"/>
    <w:rsid w:val="005A45B2"/>
    <w:rsid w:val="005A7527"/>
    <w:rsid w:val="005B03CE"/>
    <w:rsid w:val="005C42E8"/>
    <w:rsid w:val="005C49E8"/>
    <w:rsid w:val="005C76D6"/>
    <w:rsid w:val="005D08EE"/>
    <w:rsid w:val="005E0E76"/>
    <w:rsid w:val="005E4A1B"/>
    <w:rsid w:val="005E66B7"/>
    <w:rsid w:val="006133AF"/>
    <w:rsid w:val="00621B0D"/>
    <w:rsid w:val="006222A8"/>
    <w:rsid w:val="006261EC"/>
    <w:rsid w:val="00640A04"/>
    <w:rsid w:val="006412FD"/>
    <w:rsid w:val="006430D3"/>
    <w:rsid w:val="0067258E"/>
    <w:rsid w:val="006771C4"/>
    <w:rsid w:val="00685165"/>
    <w:rsid w:val="00690EC2"/>
    <w:rsid w:val="00695EA5"/>
    <w:rsid w:val="006B1876"/>
    <w:rsid w:val="006B326C"/>
    <w:rsid w:val="006B3A7C"/>
    <w:rsid w:val="006B589B"/>
    <w:rsid w:val="006C406F"/>
    <w:rsid w:val="006C6085"/>
    <w:rsid w:val="006C7AAD"/>
    <w:rsid w:val="006D249C"/>
    <w:rsid w:val="006D2B6F"/>
    <w:rsid w:val="006D5968"/>
    <w:rsid w:val="006D636D"/>
    <w:rsid w:val="006E2428"/>
    <w:rsid w:val="006E2DBA"/>
    <w:rsid w:val="006E30FE"/>
    <w:rsid w:val="006E5DE3"/>
    <w:rsid w:val="006E618C"/>
    <w:rsid w:val="006F1B82"/>
    <w:rsid w:val="006F2DCF"/>
    <w:rsid w:val="00705969"/>
    <w:rsid w:val="00705CCB"/>
    <w:rsid w:val="007112D0"/>
    <w:rsid w:val="00715E46"/>
    <w:rsid w:val="00721C1D"/>
    <w:rsid w:val="00727939"/>
    <w:rsid w:val="007341A5"/>
    <w:rsid w:val="00734A56"/>
    <w:rsid w:val="007424A5"/>
    <w:rsid w:val="00743A3B"/>
    <w:rsid w:val="00747D38"/>
    <w:rsid w:val="00752096"/>
    <w:rsid w:val="00752CAE"/>
    <w:rsid w:val="00760158"/>
    <w:rsid w:val="007609E4"/>
    <w:rsid w:val="00767D3D"/>
    <w:rsid w:val="0077121C"/>
    <w:rsid w:val="00774B6A"/>
    <w:rsid w:val="00776864"/>
    <w:rsid w:val="0077791F"/>
    <w:rsid w:val="00785CE4"/>
    <w:rsid w:val="00790162"/>
    <w:rsid w:val="00795352"/>
    <w:rsid w:val="007A1429"/>
    <w:rsid w:val="007A5B2C"/>
    <w:rsid w:val="007A5DBA"/>
    <w:rsid w:val="007B3B8A"/>
    <w:rsid w:val="007B5922"/>
    <w:rsid w:val="007B6917"/>
    <w:rsid w:val="007C5FD5"/>
    <w:rsid w:val="007F5F99"/>
    <w:rsid w:val="007F7F3C"/>
    <w:rsid w:val="00800EB7"/>
    <w:rsid w:val="008016C0"/>
    <w:rsid w:val="00803219"/>
    <w:rsid w:val="00807C6F"/>
    <w:rsid w:val="0081486A"/>
    <w:rsid w:val="00823FB4"/>
    <w:rsid w:val="00824778"/>
    <w:rsid w:val="0082626B"/>
    <w:rsid w:val="008275D9"/>
    <w:rsid w:val="00830041"/>
    <w:rsid w:val="00836BF6"/>
    <w:rsid w:val="008425C3"/>
    <w:rsid w:val="00845890"/>
    <w:rsid w:val="008472C2"/>
    <w:rsid w:val="00864ECC"/>
    <w:rsid w:val="0086553D"/>
    <w:rsid w:val="0087236A"/>
    <w:rsid w:val="00874C35"/>
    <w:rsid w:val="00882F3A"/>
    <w:rsid w:val="00885D32"/>
    <w:rsid w:val="00886B49"/>
    <w:rsid w:val="00886D1D"/>
    <w:rsid w:val="008A0F97"/>
    <w:rsid w:val="008A3104"/>
    <w:rsid w:val="008A4B13"/>
    <w:rsid w:val="008B20D3"/>
    <w:rsid w:val="008C6FFA"/>
    <w:rsid w:val="008D1055"/>
    <w:rsid w:val="008D39A5"/>
    <w:rsid w:val="008E2199"/>
    <w:rsid w:val="008E2C6D"/>
    <w:rsid w:val="008E5362"/>
    <w:rsid w:val="008E6101"/>
    <w:rsid w:val="008F19C7"/>
    <w:rsid w:val="008F2603"/>
    <w:rsid w:val="009034B1"/>
    <w:rsid w:val="00905866"/>
    <w:rsid w:val="00906F81"/>
    <w:rsid w:val="00917255"/>
    <w:rsid w:val="009220C0"/>
    <w:rsid w:val="0092375C"/>
    <w:rsid w:val="00923ACA"/>
    <w:rsid w:val="00932590"/>
    <w:rsid w:val="00932D2A"/>
    <w:rsid w:val="00935FA4"/>
    <w:rsid w:val="009370BB"/>
    <w:rsid w:val="00940185"/>
    <w:rsid w:val="00940E90"/>
    <w:rsid w:val="00941A22"/>
    <w:rsid w:val="009422F0"/>
    <w:rsid w:val="009456A0"/>
    <w:rsid w:val="009719D1"/>
    <w:rsid w:val="00972C71"/>
    <w:rsid w:val="00974FB3"/>
    <w:rsid w:val="0098457C"/>
    <w:rsid w:val="00990BDD"/>
    <w:rsid w:val="0099211D"/>
    <w:rsid w:val="00992170"/>
    <w:rsid w:val="00992A6E"/>
    <w:rsid w:val="009A0007"/>
    <w:rsid w:val="009A2224"/>
    <w:rsid w:val="009B406D"/>
    <w:rsid w:val="009B68C5"/>
    <w:rsid w:val="009B72BA"/>
    <w:rsid w:val="009C6647"/>
    <w:rsid w:val="009C7B2C"/>
    <w:rsid w:val="009D20B0"/>
    <w:rsid w:val="009D32FE"/>
    <w:rsid w:val="009D6E3E"/>
    <w:rsid w:val="009E2D83"/>
    <w:rsid w:val="00A01B20"/>
    <w:rsid w:val="00A060B8"/>
    <w:rsid w:val="00A26950"/>
    <w:rsid w:val="00A26BA7"/>
    <w:rsid w:val="00A40169"/>
    <w:rsid w:val="00A40192"/>
    <w:rsid w:val="00A43DFD"/>
    <w:rsid w:val="00A4550E"/>
    <w:rsid w:val="00A554C3"/>
    <w:rsid w:val="00A6120C"/>
    <w:rsid w:val="00A61493"/>
    <w:rsid w:val="00A67904"/>
    <w:rsid w:val="00A70F3C"/>
    <w:rsid w:val="00A73E22"/>
    <w:rsid w:val="00A75BD5"/>
    <w:rsid w:val="00A76AA4"/>
    <w:rsid w:val="00A80947"/>
    <w:rsid w:val="00A83618"/>
    <w:rsid w:val="00A83A0F"/>
    <w:rsid w:val="00A85F29"/>
    <w:rsid w:val="00A94F61"/>
    <w:rsid w:val="00A97149"/>
    <w:rsid w:val="00AA1CAF"/>
    <w:rsid w:val="00AA4B9D"/>
    <w:rsid w:val="00AB0A2E"/>
    <w:rsid w:val="00AB5667"/>
    <w:rsid w:val="00AC107E"/>
    <w:rsid w:val="00AC181E"/>
    <w:rsid w:val="00AC7CBA"/>
    <w:rsid w:val="00AC7FEE"/>
    <w:rsid w:val="00AD0008"/>
    <w:rsid w:val="00AD055D"/>
    <w:rsid w:val="00AE0485"/>
    <w:rsid w:val="00AE47E1"/>
    <w:rsid w:val="00AE6076"/>
    <w:rsid w:val="00AF232C"/>
    <w:rsid w:val="00AF7FF1"/>
    <w:rsid w:val="00B05F57"/>
    <w:rsid w:val="00B060A4"/>
    <w:rsid w:val="00B10490"/>
    <w:rsid w:val="00B35997"/>
    <w:rsid w:val="00B412B5"/>
    <w:rsid w:val="00B55074"/>
    <w:rsid w:val="00B6417A"/>
    <w:rsid w:val="00B71691"/>
    <w:rsid w:val="00B74B1E"/>
    <w:rsid w:val="00B76983"/>
    <w:rsid w:val="00B8181B"/>
    <w:rsid w:val="00B81C56"/>
    <w:rsid w:val="00B83300"/>
    <w:rsid w:val="00B84892"/>
    <w:rsid w:val="00B92F21"/>
    <w:rsid w:val="00B93BE7"/>
    <w:rsid w:val="00BA7A32"/>
    <w:rsid w:val="00BB249C"/>
    <w:rsid w:val="00BB6F25"/>
    <w:rsid w:val="00BC5EEB"/>
    <w:rsid w:val="00BD3683"/>
    <w:rsid w:val="00BD6F23"/>
    <w:rsid w:val="00BE019F"/>
    <w:rsid w:val="00BF10FC"/>
    <w:rsid w:val="00BF70A0"/>
    <w:rsid w:val="00C0159B"/>
    <w:rsid w:val="00C0169D"/>
    <w:rsid w:val="00C22216"/>
    <w:rsid w:val="00C239E2"/>
    <w:rsid w:val="00C26E56"/>
    <w:rsid w:val="00C34EBF"/>
    <w:rsid w:val="00C37995"/>
    <w:rsid w:val="00C863D7"/>
    <w:rsid w:val="00C90420"/>
    <w:rsid w:val="00C976F6"/>
    <w:rsid w:val="00CA1165"/>
    <w:rsid w:val="00CA2509"/>
    <w:rsid w:val="00CA30FC"/>
    <w:rsid w:val="00CB540D"/>
    <w:rsid w:val="00CB6964"/>
    <w:rsid w:val="00CB7E1B"/>
    <w:rsid w:val="00CC0CCA"/>
    <w:rsid w:val="00CC7805"/>
    <w:rsid w:val="00CD29A2"/>
    <w:rsid w:val="00CD77B2"/>
    <w:rsid w:val="00CE1399"/>
    <w:rsid w:val="00CE1A24"/>
    <w:rsid w:val="00CE1A5A"/>
    <w:rsid w:val="00CF75DA"/>
    <w:rsid w:val="00D00901"/>
    <w:rsid w:val="00D0640F"/>
    <w:rsid w:val="00D06D48"/>
    <w:rsid w:val="00D1134E"/>
    <w:rsid w:val="00D14239"/>
    <w:rsid w:val="00D20160"/>
    <w:rsid w:val="00D24AAD"/>
    <w:rsid w:val="00D33406"/>
    <w:rsid w:val="00D34F3B"/>
    <w:rsid w:val="00D42A54"/>
    <w:rsid w:val="00D43B4B"/>
    <w:rsid w:val="00D46046"/>
    <w:rsid w:val="00D546CE"/>
    <w:rsid w:val="00D57FE2"/>
    <w:rsid w:val="00D7173F"/>
    <w:rsid w:val="00D850DF"/>
    <w:rsid w:val="00DA7FCB"/>
    <w:rsid w:val="00DB5071"/>
    <w:rsid w:val="00DC2140"/>
    <w:rsid w:val="00DC4790"/>
    <w:rsid w:val="00DC5374"/>
    <w:rsid w:val="00DC55CE"/>
    <w:rsid w:val="00DC75AD"/>
    <w:rsid w:val="00DD3315"/>
    <w:rsid w:val="00DD3A62"/>
    <w:rsid w:val="00DD7394"/>
    <w:rsid w:val="00DE6000"/>
    <w:rsid w:val="00E01548"/>
    <w:rsid w:val="00E0203E"/>
    <w:rsid w:val="00E0270A"/>
    <w:rsid w:val="00E14F69"/>
    <w:rsid w:val="00E15E91"/>
    <w:rsid w:val="00E21A49"/>
    <w:rsid w:val="00E252F2"/>
    <w:rsid w:val="00E30208"/>
    <w:rsid w:val="00E305DC"/>
    <w:rsid w:val="00E331DC"/>
    <w:rsid w:val="00E33255"/>
    <w:rsid w:val="00E41CBE"/>
    <w:rsid w:val="00E56DB8"/>
    <w:rsid w:val="00E64269"/>
    <w:rsid w:val="00E6599F"/>
    <w:rsid w:val="00E77768"/>
    <w:rsid w:val="00E77935"/>
    <w:rsid w:val="00E77E66"/>
    <w:rsid w:val="00E80DFD"/>
    <w:rsid w:val="00E90913"/>
    <w:rsid w:val="00E91BD4"/>
    <w:rsid w:val="00E92E34"/>
    <w:rsid w:val="00E96081"/>
    <w:rsid w:val="00EA358D"/>
    <w:rsid w:val="00EA51D8"/>
    <w:rsid w:val="00EA64BB"/>
    <w:rsid w:val="00EA782D"/>
    <w:rsid w:val="00EB18BD"/>
    <w:rsid w:val="00EC071A"/>
    <w:rsid w:val="00EC3599"/>
    <w:rsid w:val="00EC4F28"/>
    <w:rsid w:val="00ED731A"/>
    <w:rsid w:val="00EE34EB"/>
    <w:rsid w:val="00EE542A"/>
    <w:rsid w:val="00EE69F7"/>
    <w:rsid w:val="00EF12F6"/>
    <w:rsid w:val="00EF735B"/>
    <w:rsid w:val="00F0366C"/>
    <w:rsid w:val="00F0434B"/>
    <w:rsid w:val="00F06011"/>
    <w:rsid w:val="00F078A7"/>
    <w:rsid w:val="00F10D7D"/>
    <w:rsid w:val="00F1395E"/>
    <w:rsid w:val="00F15713"/>
    <w:rsid w:val="00F17089"/>
    <w:rsid w:val="00F21090"/>
    <w:rsid w:val="00F30569"/>
    <w:rsid w:val="00F42C00"/>
    <w:rsid w:val="00F450F0"/>
    <w:rsid w:val="00F469C9"/>
    <w:rsid w:val="00F55457"/>
    <w:rsid w:val="00F6027D"/>
    <w:rsid w:val="00F7432B"/>
    <w:rsid w:val="00F7672E"/>
    <w:rsid w:val="00F77848"/>
    <w:rsid w:val="00F912A0"/>
    <w:rsid w:val="00F9482E"/>
    <w:rsid w:val="00F956CC"/>
    <w:rsid w:val="00F978E5"/>
    <w:rsid w:val="00FA1F95"/>
    <w:rsid w:val="00FA21E6"/>
    <w:rsid w:val="00FB0F8B"/>
    <w:rsid w:val="00FB572C"/>
    <w:rsid w:val="00FC7555"/>
    <w:rsid w:val="00FD4E92"/>
    <w:rsid w:val="00FE250C"/>
    <w:rsid w:val="00FE3BDF"/>
    <w:rsid w:val="00FF0858"/>
    <w:rsid w:val="00FF5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6BD29A"/>
  <w15:chartTrackingRefBased/>
  <w15:docId w15:val="{8C6A1F5C-BB23-499B-94FE-1DF90848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11"/>
    <w:rPr>
      <w:rFonts w:ascii="Exo Regular" w:hAnsi="Exo Regular"/>
      <w:sz w:val="22"/>
    </w:rPr>
  </w:style>
  <w:style w:type="paragraph" w:styleId="Titre1">
    <w:name w:val="heading 1"/>
    <w:basedOn w:val="TM1"/>
    <w:next w:val="Normal"/>
    <w:link w:val="Titre1Car"/>
    <w:autoRedefine/>
    <w:qFormat/>
    <w:rsid w:val="007341A5"/>
    <w:pPr>
      <w:spacing w:before="0"/>
      <w:ind w:left="567"/>
      <w:outlineLvl w:val="0"/>
    </w:pPr>
    <w:rPr>
      <w:i/>
      <w:caps w:val="0"/>
      <w:noProof/>
      <w:sz w:val="28"/>
      <w:szCs w:val="22"/>
      <w:u w:val="single"/>
      <w:lang w:val="x-none" w:eastAsia="x-none"/>
    </w:rPr>
  </w:style>
  <w:style w:type="paragraph" w:styleId="Titre2">
    <w:name w:val="heading 2"/>
    <w:aliases w:val="italique gras/marge,nul,heading 2,Titre 2 gras/marge"/>
    <w:basedOn w:val="Normal"/>
    <w:next w:val="Normal"/>
    <w:link w:val="Titre2Car"/>
    <w:qFormat/>
    <w:rsid w:val="008F2603"/>
    <w:pPr>
      <w:keepNext/>
      <w:spacing w:before="240" w:after="60"/>
      <w:ind w:left="284"/>
      <w:outlineLvl w:val="1"/>
    </w:pPr>
    <w:rPr>
      <w:rFonts w:ascii="Times New Roman" w:hAnsi="Times New Roman"/>
      <w:i/>
      <w:sz w:val="24"/>
      <w:u w:val="single"/>
      <w:lang w:val="x-none" w:eastAsia="x-none"/>
    </w:rPr>
  </w:style>
  <w:style w:type="paragraph" w:styleId="Titre3">
    <w:name w:val="heading 3"/>
    <w:basedOn w:val="Normal"/>
    <w:next w:val="Normal"/>
    <w:link w:val="Titre3Car"/>
    <w:qFormat/>
    <w:rsid w:val="008F2603"/>
    <w:pPr>
      <w:keepNext/>
      <w:spacing w:before="240" w:after="60"/>
      <w:ind w:left="567"/>
      <w:outlineLvl w:val="2"/>
    </w:pPr>
    <w:rPr>
      <w:rFonts w:ascii="Times New Roman" w:hAnsi="Times New Roman"/>
      <w:u w:val="single"/>
      <w:lang w:val="x-none" w:eastAsia="x-none"/>
    </w:rPr>
  </w:style>
  <w:style w:type="paragraph" w:styleId="Titre4">
    <w:name w:val="heading 4"/>
    <w:basedOn w:val="Normal"/>
    <w:next w:val="Normal"/>
    <w:link w:val="Titre4Car"/>
    <w:qFormat/>
    <w:rsid w:val="008F2603"/>
    <w:pPr>
      <w:keepNext/>
      <w:spacing w:before="240" w:after="60"/>
      <w:outlineLvl w:val="3"/>
    </w:pPr>
    <w:rPr>
      <w:rFonts w:ascii="Times New Roman" w:hAnsi="Times New Roman"/>
      <w:b/>
      <w:i/>
      <w:lang w:val="x-none" w:eastAsia="x-none"/>
    </w:rPr>
  </w:style>
  <w:style w:type="paragraph" w:styleId="Titre5">
    <w:name w:val="heading 5"/>
    <w:basedOn w:val="Normal"/>
    <w:next w:val="Normal"/>
    <w:link w:val="Titre5Car"/>
    <w:qFormat/>
    <w:rsid w:val="008F2603"/>
    <w:pPr>
      <w:spacing w:before="240" w:after="60"/>
      <w:outlineLvl w:val="4"/>
    </w:pPr>
    <w:rPr>
      <w:rFonts w:ascii="Arial" w:hAnsi="Arial"/>
      <w:lang w:val="x-none" w:eastAsia="x-none"/>
    </w:rPr>
  </w:style>
  <w:style w:type="paragraph" w:styleId="Titre6">
    <w:name w:val="heading 6"/>
    <w:basedOn w:val="Normal"/>
    <w:next w:val="Normal"/>
    <w:link w:val="Titre6Car"/>
    <w:qFormat/>
    <w:rsid w:val="008F2603"/>
    <w:pPr>
      <w:keepNext/>
      <w:tabs>
        <w:tab w:val="right" w:pos="4395"/>
        <w:tab w:val="center" w:pos="4536"/>
        <w:tab w:val="left" w:pos="4678"/>
      </w:tabs>
      <w:jc w:val="center"/>
      <w:outlineLvl w:val="5"/>
    </w:pPr>
    <w:rPr>
      <w:rFonts w:ascii="Times New Roman" w:hAnsi="Times New Roman"/>
      <w:b/>
      <w:sz w:val="28"/>
      <w:lang w:val="x-none" w:eastAsia="x-none"/>
    </w:rPr>
  </w:style>
  <w:style w:type="paragraph" w:styleId="Titre7">
    <w:name w:val="heading 7"/>
    <w:basedOn w:val="Normal"/>
    <w:next w:val="Normal"/>
    <w:link w:val="Titre7Car"/>
    <w:uiPriority w:val="9"/>
    <w:semiHidden/>
    <w:unhideWhenUsed/>
    <w:qFormat/>
    <w:rsid w:val="008F2603"/>
    <w:pPr>
      <w:spacing w:before="240" w:after="60"/>
      <w:outlineLvl w:val="6"/>
    </w:pPr>
    <w:rPr>
      <w:rFonts w:ascii="Calibri" w:hAnsi="Calibri"/>
      <w:sz w:val="24"/>
      <w:szCs w:val="24"/>
      <w:lang w:val="x-none" w:eastAsia="x-none"/>
    </w:rPr>
  </w:style>
  <w:style w:type="paragraph" w:styleId="Titre8">
    <w:name w:val="heading 8"/>
    <w:basedOn w:val="Normal"/>
    <w:next w:val="Normal"/>
    <w:link w:val="Titre8Car"/>
    <w:qFormat/>
    <w:rsid w:val="008F2603"/>
    <w:pPr>
      <w:keepNext/>
      <w:ind w:left="1134"/>
      <w:outlineLvl w:val="7"/>
    </w:pPr>
    <w:rPr>
      <w:rFonts w:ascii="Times New Roman" w:hAnsi="Times New Roman"/>
      <w:b/>
      <w:bCs/>
      <w:szCs w:val="22"/>
      <w:lang w:val="x-none" w:eastAsia="x-none"/>
    </w:rPr>
  </w:style>
  <w:style w:type="paragraph" w:styleId="Titre9">
    <w:name w:val="heading 9"/>
    <w:basedOn w:val="Normal"/>
    <w:next w:val="Normal"/>
    <w:link w:val="Titre9Car"/>
    <w:uiPriority w:val="9"/>
    <w:semiHidden/>
    <w:unhideWhenUsed/>
    <w:qFormat/>
    <w:rsid w:val="008F2603"/>
    <w:pPr>
      <w:spacing w:before="240" w:after="60"/>
      <w:outlineLvl w:val="8"/>
    </w:pPr>
    <w:rPr>
      <w:rFonts w:ascii="Cambria" w:hAnsi="Cambria"/>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341A5"/>
    <w:rPr>
      <w:rFonts w:ascii="Exo Regular" w:hAnsi="Exo Regular" w:cs="Arial"/>
      <w:b/>
      <w:bCs/>
      <w:i/>
      <w:iCs/>
      <w:noProof/>
      <w:color w:val="551B39"/>
      <w:sz w:val="28"/>
      <w:szCs w:val="22"/>
      <w:u w:val="single"/>
    </w:rPr>
  </w:style>
  <w:style w:type="character" w:customStyle="1" w:styleId="Titre2Car">
    <w:name w:val="Titre 2 Car"/>
    <w:aliases w:val="italique gras/marge Car,nul Car,heading 2 Car,Titre 2 gras/marge Car"/>
    <w:link w:val="Titre2"/>
    <w:rsid w:val="008F2603"/>
    <w:rPr>
      <w:i/>
      <w:sz w:val="24"/>
      <w:u w:val="single"/>
    </w:rPr>
  </w:style>
  <w:style w:type="character" w:customStyle="1" w:styleId="Titre3Car">
    <w:name w:val="Titre 3 Car"/>
    <w:link w:val="Titre3"/>
    <w:rsid w:val="008F2603"/>
    <w:rPr>
      <w:sz w:val="22"/>
      <w:u w:val="single"/>
    </w:rPr>
  </w:style>
  <w:style w:type="character" w:customStyle="1" w:styleId="Titre4Car">
    <w:name w:val="Titre 4 Car"/>
    <w:link w:val="Titre4"/>
    <w:rsid w:val="008F2603"/>
    <w:rPr>
      <w:rFonts w:eastAsia="Times New Roman" w:cs="Times New Roman"/>
      <w:b/>
      <w:i/>
      <w:sz w:val="22"/>
    </w:rPr>
  </w:style>
  <w:style w:type="character" w:customStyle="1" w:styleId="Titre5Car">
    <w:name w:val="Titre 5 Car"/>
    <w:link w:val="Titre5"/>
    <w:rsid w:val="008F2603"/>
    <w:rPr>
      <w:rFonts w:ascii="Arial" w:eastAsia="Times New Roman" w:hAnsi="Arial" w:cs="Times New Roman"/>
      <w:sz w:val="22"/>
    </w:rPr>
  </w:style>
  <w:style w:type="character" w:customStyle="1" w:styleId="Titre6Car">
    <w:name w:val="Titre 6 Car"/>
    <w:link w:val="Titre6"/>
    <w:rsid w:val="008F2603"/>
    <w:rPr>
      <w:rFonts w:eastAsia="Times New Roman" w:cs="Times New Roman"/>
      <w:b/>
      <w:sz w:val="28"/>
    </w:rPr>
  </w:style>
  <w:style w:type="character" w:customStyle="1" w:styleId="Titre7Car">
    <w:name w:val="Titre 7 Car"/>
    <w:link w:val="Titre7"/>
    <w:uiPriority w:val="9"/>
    <w:semiHidden/>
    <w:rsid w:val="008F2603"/>
    <w:rPr>
      <w:rFonts w:ascii="Calibri" w:eastAsia="Times New Roman" w:hAnsi="Calibri" w:cs="Times New Roman"/>
      <w:sz w:val="24"/>
      <w:szCs w:val="24"/>
    </w:rPr>
  </w:style>
  <w:style w:type="character" w:customStyle="1" w:styleId="Titre8Car">
    <w:name w:val="Titre 8 Car"/>
    <w:link w:val="Titre8"/>
    <w:rsid w:val="008F2603"/>
    <w:rPr>
      <w:rFonts w:eastAsia="Times New Roman" w:cs="Times New Roman"/>
      <w:b/>
      <w:bCs/>
      <w:sz w:val="22"/>
      <w:szCs w:val="22"/>
    </w:rPr>
  </w:style>
  <w:style w:type="character" w:customStyle="1" w:styleId="Titre9Car">
    <w:name w:val="Titre 9 Car"/>
    <w:link w:val="Titre9"/>
    <w:uiPriority w:val="9"/>
    <w:semiHidden/>
    <w:rsid w:val="008F2603"/>
    <w:rPr>
      <w:rFonts w:ascii="Cambria" w:eastAsia="Times New Roman" w:hAnsi="Cambria" w:cs="Times New Roman"/>
      <w:sz w:val="22"/>
      <w:szCs w:val="22"/>
    </w:rPr>
  </w:style>
  <w:style w:type="paragraph" w:styleId="Titre">
    <w:name w:val="Title"/>
    <w:basedOn w:val="Normal"/>
    <w:link w:val="TitreCar"/>
    <w:autoRedefine/>
    <w:qFormat/>
    <w:rsid w:val="00EC071A"/>
    <w:pPr>
      <w:spacing w:before="240" w:after="240"/>
      <w:jc w:val="center"/>
    </w:pPr>
    <w:rPr>
      <w:rFonts w:ascii="Arial" w:hAnsi="Arial"/>
      <w:b/>
      <w:sz w:val="32"/>
      <w:lang w:val="x-none" w:eastAsia="x-none"/>
    </w:rPr>
  </w:style>
  <w:style w:type="character" w:customStyle="1" w:styleId="TitreCar">
    <w:name w:val="Titre Car"/>
    <w:link w:val="Titre"/>
    <w:rsid w:val="00EC071A"/>
    <w:rPr>
      <w:rFonts w:ascii="Arial" w:hAnsi="Arial"/>
      <w:b/>
      <w:sz w:val="32"/>
    </w:rPr>
  </w:style>
  <w:style w:type="paragraph" w:styleId="Sansinterligne">
    <w:name w:val="No Spacing"/>
    <w:uiPriority w:val="1"/>
    <w:qFormat/>
    <w:rsid w:val="008F2603"/>
    <w:rPr>
      <w:sz w:val="22"/>
    </w:rPr>
  </w:style>
  <w:style w:type="paragraph" w:styleId="En-ttedetabledesmatires">
    <w:name w:val="TOC Heading"/>
    <w:basedOn w:val="Titre1"/>
    <w:next w:val="Normal"/>
    <w:uiPriority w:val="39"/>
    <w:semiHidden/>
    <w:unhideWhenUsed/>
    <w:qFormat/>
    <w:rsid w:val="008F2603"/>
    <w:pPr>
      <w:keepLines/>
      <w:spacing w:before="480" w:line="276" w:lineRule="auto"/>
      <w:outlineLvl w:val="9"/>
    </w:pPr>
    <w:rPr>
      <w:rFonts w:ascii="Cambria" w:hAnsi="Cambria"/>
      <w:color w:val="365F91"/>
      <w:szCs w:val="28"/>
      <w:lang w:eastAsia="en-US"/>
    </w:rPr>
  </w:style>
  <w:style w:type="paragraph" w:styleId="Paragraphedeliste">
    <w:name w:val="List Paragraph"/>
    <w:aliases w:val="Devis"/>
    <w:basedOn w:val="Normal"/>
    <w:uiPriority w:val="34"/>
    <w:qFormat/>
    <w:rsid w:val="008F2603"/>
    <w:pPr>
      <w:ind w:left="720"/>
      <w:contextualSpacing/>
    </w:pPr>
  </w:style>
  <w:style w:type="paragraph" w:styleId="Textedebulles">
    <w:name w:val="Balloon Text"/>
    <w:basedOn w:val="Normal"/>
    <w:link w:val="TextedebullesCar"/>
    <w:uiPriority w:val="99"/>
    <w:semiHidden/>
    <w:unhideWhenUsed/>
    <w:rsid w:val="00807C6F"/>
    <w:rPr>
      <w:rFonts w:ascii="Tahoma" w:hAnsi="Tahoma"/>
      <w:sz w:val="16"/>
      <w:szCs w:val="16"/>
      <w:lang w:val="x-none" w:eastAsia="x-none"/>
    </w:rPr>
  </w:style>
  <w:style w:type="character" w:customStyle="1" w:styleId="TextedebullesCar">
    <w:name w:val="Texte de bulles Car"/>
    <w:link w:val="Textedebulles"/>
    <w:uiPriority w:val="99"/>
    <w:semiHidden/>
    <w:rsid w:val="00807C6F"/>
    <w:rPr>
      <w:rFonts w:ascii="Tahoma" w:hAnsi="Tahoma" w:cs="Tahoma"/>
      <w:sz w:val="16"/>
      <w:szCs w:val="16"/>
    </w:rPr>
  </w:style>
  <w:style w:type="table" w:styleId="Grilledutableau">
    <w:name w:val="Table Grid"/>
    <w:basedOn w:val="TableauNormal"/>
    <w:uiPriority w:val="59"/>
    <w:rsid w:val="0087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nhideWhenUsed/>
    <w:rsid w:val="001B523F"/>
    <w:pPr>
      <w:tabs>
        <w:tab w:val="center" w:pos="4536"/>
        <w:tab w:val="right" w:pos="9072"/>
      </w:tabs>
    </w:pPr>
    <w:rPr>
      <w:rFonts w:ascii="Times New Roman" w:hAnsi="Times New Roman"/>
      <w:lang w:val="x-none" w:eastAsia="x-none"/>
    </w:rPr>
  </w:style>
  <w:style w:type="character" w:customStyle="1" w:styleId="En-tteCar">
    <w:name w:val="En-tête Car"/>
    <w:link w:val="En-tte"/>
    <w:uiPriority w:val="99"/>
    <w:rsid w:val="001B523F"/>
    <w:rPr>
      <w:sz w:val="22"/>
    </w:rPr>
  </w:style>
  <w:style w:type="paragraph" w:styleId="Pieddepage">
    <w:name w:val="footer"/>
    <w:basedOn w:val="Normal"/>
    <w:link w:val="PieddepageCar"/>
    <w:uiPriority w:val="99"/>
    <w:unhideWhenUsed/>
    <w:rsid w:val="001B523F"/>
    <w:pPr>
      <w:tabs>
        <w:tab w:val="center" w:pos="4536"/>
        <w:tab w:val="right" w:pos="9072"/>
      </w:tabs>
    </w:pPr>
    <w:rPr>
      <w:rFonts w:ascii="Times New Roman" w:hAnsi="Times New Roman"/>
      <w:lang w:val="x-none" w:eastAsia="x-none"/>
    </w:rPr>
  </w:style>
  <w:style w:type="character" w:customStyle="1" w:styleId="PieddepageCar">
    <w:name w:val="Pied de page Car"/>
    <w:link w:val="Pieddepage"/>
    <w:uiPriority w:val="99"/>
    <w:rsid w:val="001B523F"/>
    <w:rPr>
      <w:sz w:val="22"/>
    </w:rPr>
  </w:style>
  <w:style w:type="paragraph" w:customStyle="1" w:styleId="Niveau2">
    <w:name w:val="Niveau 2"/>
    <w:basedOn w:val="Normal"/>
    <w:rsid w:val="00D57FE2"/>
    <w:rPr>
      <w:b/>
    </w:rPr>
  </w:style>
  <w:style w:type="paragraph" w:customStyle="1" w:styleId="RedTxtCarCar1">
    <w:name w:val="RedTxt Car Car1"/>
    <w:basedOn w:val="Normal"/>
    <w:rsid w:val="00D57FE2"/>
    <w:rPr>
      <w:rFonts w:ascii="Arial" w:hAnsi="Arial"/>
      <w:sz w:val="18"/>
    </w:rPr>
  </w:style>
  <w:style w:type="paragraph" w:customStyle="1" w:styleId="RedNomDoc">
    <w:name w:val="RedNomDoc"/>
    <w:basedOn w:val="Normal"/>
    <w:rsid w:val="00D57FE2"/>
    <w:pPr>
      <w:jc w:val="center"/>
    </w:pPr>
    <w:rPr>
      <w:rFonts w:ascii="Arial" w:hAnsi="Arial"/>
      <w:b/>
      <w:sz w:val="30"/>
    </w:rPr>
  </w:style>
  <w:style w:type="paragraph" w:styleId="TM1">
    <w:name w:val="toc 1"/>
    <w:basedOn w:val="Normal"/>
    <w:next w:val="Normal"/>
    <w:autoRedefine/>
    <w:uiPriority w:val="39"/>
    <w:unhideWhenUsed/>
    <w:qFormat/>
    <w:rsid w:val="00FB572C"/>
    <w:pPr>
      <w:tabs>
        <w:tab w:val="right" w:leader="underscore" w:pos="9346"/>
      </w:tabs>
      <w:spacing w:before="120"/>
    </w:pPr>
    <w:rPr>
      <w:b/>
      <w:bCs/>
      <w:iCs/>
      <w:caps/>
      <w:color w:val="551B39"/>
      <w:szCs w:val="40"/>
    </w:rPr>
  </w:style>
  <w:style w:type="paragraph" w:styleId="TM2">
    <w:name w:val="toc 2"/>
    <w:basedOn w:val="Normal"/>
    <w:next w:val="Normal"/>
    <w:autoRedefine/>
    <w:uiPriority w:val="39"/>
    <w:unhideWhenUsed/>
    <w:qFormat/>
    <w:rsid w:val="00FB572C"/>
    <w:pPr>
      <w:spacing w:before="120"/>
      <w:ind w:left="220"/>
    </w:pPr>
    <w:rPr>
      <w:b/>
      <w:bCs/>
      <w:szCs w:val="22"/>
    </w:rPr>
  </w:style>
  <w:style w:type="paragraph" w:styleId="TM3">
    <w:name w:val="toc 3"/>
    <w:basedOn w:val="Normal"/>
    <w:next w:val="Normal"/>
    <w:autoRedefine/>
    <w:uiPriority w:val="39"/>
    <w:unhideWhenUsed/>
    <w:qFormat/>
    <w:rsid w:val="006F2DCF"/>
    <w:pPr>
      <w:ind w:left="440"/>
    </w:pPr>
    <w:rPr>
      <w:rFonts w:ascii="Calibri" w:hAnsi="Calibri"/>
      <w:sz w:val="20"/>
    </w:rPr>
  </w:style>
  <w:style w:type="paragraph" w:styleId="TM4">
    <w:name w:val="toc 4"/>
    <w:basedOn w:val="Normal"/>
    <w:next w:val="Normal"/>
    <w:autoRedefine/>
    <w:uiPriority w:val="39"/>
    <w:unhideWhenUsed/>
    <w:rsid w:val="006F2DCF"/>
    <w:pPr>
      <w:ind w:left="660"/>
    </w:pPr>
    <w:rPr>
      <w:rFonts w:ascii="Calibri" w:hAnsi="Calibri"/>
      <w:sz w:val="20"/>
    </w:rPr>
  </w:style>
  <w:style w:type="paragraph" w:styleId="TM5">
    <w:name w:val="toc 5"/>
    <w:basedOn w:val="Normal"/>
    <w:next w:val="Normal"/>
    <w:autoRedefine/>
    <w:uiPriority w:val="39"/>
    <w:unhideWhenUsed/>
    <w:rsid w:val="006F2DCF"/>
    <w:pPr>
      <w:ind w:left="880"/>
    </w:pPr>
    <w:rPr>
      <w:rFonts w:ascii="Calibri" w:hAnsi="Calibri"/>
      <w:sz w:val="20"/>
    </w:rPr>
  </w:style>
  <w:style w:type="paragraph" w:styleId="TM6">
    <w:name w:val="toc 6"/>
    <w:basedOn w:val="Normal"/>
    <w:next w:val="Normal"/>
    <w:autoRedefine/>
    <w:uiPriority w:val="39"/>
    <w:unhideWhenUsed/>
    <w:rsid w:val="006F2DCF"/>
    <w:pPr>
      <w:ind w:left="1100"/>
    </w:pPr>
    <w:rPr>
      <w:rFonts w:ascii="Calibri" w:hAnsi="Calibri"/>
      <w:sz w:val="20"/>
    </w:rPr>
  </w:style>
  <w:style w:type="paragraph" w:styleId="TM7">
    <w:name w:val="toc 7"/>
    <w:basedOn w:val="Normal"/>
    <w:next w:val="Normal"/>
    <w:autoRedefine/>
    <w:uiPriority w:val="39"/>
    <w:unhideWhenUsed/>
    <w:rsid w:val="006F2DCF"/>
    <w:pPr>
      <w:ind w:left="1320"/>
    </w:pPr>
    <w:rPr>
      <w:rFonts w:ascii="Calibri" w:hAnsi="Calibri"/>
      <w:sz w:val="20"/>
    </w:rPr>
  </w:style>
  <w:style w:type="paragraph" w:styleId="TM8">
    <w:name w:val="toc 8"/>
    <w:basedOn w:val="Normal"/>
    <w:next w:val="Normal"/>
    <w:autoRedefine/>
    <w:uiPriority w:val="39"/>
    <w:unhideWhenUsed/>
    <w:rsid w:val="006F2DCF"/>
    <w:pPr>
      <w:ind w:left="1540"/>
    </w:pPr>
    <w:rPr>
      <w:rFonts w:ascii="Calibri" w:hAnsi="Calibri"/>
      <w:sz w:val="20"/>
    </w:rPr>
  </w:style>
  <w:style w:type="paragraph" w:styleId="TM9">
    <w:name w:val="toc 9"/>
    <w:basedOn w:val="Normal"/>
    <w:next w:val="Normal"/>
    <w:autoRedefine/>
    <w:uiPriority w:val="39"/>
    <w:unhideWhenUsed/>
    <w:rsid w:val="006F2DCF"/>
    <w:pPr>
      <w:ind w:left="1760"/>
    </w:pPr>
    <w:rPr>
      <w:rFonts w:ascii="Calibri" w:hAnsi="Calibri"/>
      <w:sz w:val="20"/>
    </w:rPr>
  </w:style>
  <w:style w:type="character" w:styleId="Lienhypertexte">
    <w:name w:val="Hyperlink"/>
    <w:uiPriority w:val="99"/>
    <w:unhideWhenUsed/>
    <w:rsid w:val="006F2DCF"/>
    <w:rPr>
      <w:color w:val="0000FF"/>
      <w:u w:val="single"/>
    </w:rPr>
  </w:style>
  <w:style w:type="table" w:styleId="Trameclaire-Accent1">
    <w:name w:val="Light Shading Accent 1"/>
    <w:basedOn w:val="TableauNormal"/>
    <w:uiPriority w:val="60"/>
    <w:rsid w:val="00EC359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1">
    <w:name w:val="Normal1"/>
    <w:basedOn w:val="Normal"/>
    <w:semiHidden/>
    <w:rsid w:val="00440C26"/>
    <w:pPr>
      <w:keepLines/>
      <w:tabs>
        <w:tab w:val="left" w:pos="284"/>
        <w:tab w:val="left" w:pos="567"/>
        <w:tab w:val="left" w:pos="851"/>
      </w:tabs>
      <w:ind w:firstLine="284"/>
      <w:jc w:val="both"/>
    </w:pPr>
  </w:style>
  <w:style w:type="character" w:styleId="Numrodepage">
    <w:name w:val="page number"/>
    <w:uiPriority w:val="99"/>
    <w:unhideWhenUsed/>
    <w:rsid w:val="00C239E2"/>
  </w:style>
  <w:style w:type="paragraph" w:styleId="Commentaire">
    <w:name w:val="annotation text"/>
    <w:basedOn w:val="Normal"/>
    <w:link w:val="CommentaireCar"/>
    <w:uiPriority w:val="99"/>
    <w:unhideWhenUsed/>
    <w:rsid w:val="00456A11"/>
    <w:rPr>
      <w:sz w:val="20"/>
    </w:rPr>
  </w:style>
  <w:style w:type="character" w:customStyle="1" w:styleId="CommentaireCar">
    <w:name w:val="Commentaire Car"/>
    <w:link w:val="Commentaire"/>
    <w:uiPriority w:val="99"/>
    <w:rsid w:val="00456A11"/>
  </w:style>
  <w:style w:type="character" w:styleId="Marquedecommentaire">
    <w:name w:val="annotation reference"/>
    <w:uiPriority w:val="99"/>
    <w:semiHidden/>
    <w:unhideWhenUsed/>
    <w:rsid w:val="00305C6B"/>
    <w:rPr>
      <w:sz w:val="16"/>
      <w:szCs w:val="16"/>
    </w:rPr>
  </w:style>
  <w:style w:type="paragraph" w:styleId="Objetducommentaire">
    <w:name w:val="annotation subject"/>
    <w:basedOn w:val="Commentaire"/>
    <w:next w:val="Commentaire"/>
    <w:link w:val="ObjetducommentaireCar"/>
    <w:uiPriority w:val="99"/>
    <w:semiHidden/>
    <w:unhideWhenUsed/>
    <w:rsid w:val="00305C6B"/>
    <w:rPr>
      <w:rFonts w:ascii="Times New Roman" w:hAnsi="Times New Roman"/>
      <w:b/>
      <w:bCs/>
      <w:lang w:val="x-none" w:eastAsia="x-none"/>
    </w:rPr>
  </w:style>
  <w:style w:type="character" w:customStyle="1" w:styleId="ObjetducommentaireCar">
    <w:name w:val="Objet du commentaire Car"/>
    <w:link w:val="Objetducommentaire"/>
    <w:uiPriority w:val="99"/>
    <w:semiHidden/>
    <w:rsid w:val="00305C6B"/>
    <w:rPr>
      <w:b/>
      <w:bCs/>
    </w:rPr>
  </w:style>
  <w:style w:type="paragraph" w:customStyle="1" w:styleId="TableParagraph">
    <w:name w:val="Table Paragraph"/>
    <w:basedOn w:val="Normal"/>
    <w:uiPriority w:val="1"/>
    <w:qFormat/>
    <w:rsid w:val="007424A5"/>
    <w:pPr>
      <w:widowControl w:val="0"/>
    </w:pPr>
    <w:rPr>
      <w:rFonts w:ascii="Calibri" w:eastAsia="Calibri" w:hAnsi="Calibri"/>
      <w:szCs w:val="22"/>
      <w:lang w:val="en-US" w:eastAsia="en-US"/>
    </w:rPr>
  </w:style>
  <w:style w:type="paragraph" w:styleId="NormalWeb">
    <w:name w:val="Normal (Web)"/>
    <w:basedOn w:val="Normal"/>
    <w:uiPriority w:val="99"/>
    <w:unhideWhenUsed/>
    <w:rsid w:val="00785CE4"/>
    <w:pPr>
      <w:spacing w:before="100" w:beforeAutospacing="1" w:after="100" w:afterAutospacing="1"/>
    </w:pPr>
    <w:rPr>
      <w:rFonts w:eastAsia="Calibri"/>
      <w:sz w:val="24"/>
      <w:szCs w:val="24"/>
    </w:rPr>
  </w:style>
  <w:style w:type="paragraph" w:customStyle="1" w:styleId="aetitre4">
    <w:name w:val="aetitre4"/>
    <w:basedOn w:val="Normal"/>
    <w:uiPriority w:val="99"/>
    <w:semiHidden/>
    <w:rsid w:val="00DB5071"/>
    <w:pPr>
      <w:spacing w:before="100" w:beforeAutospacing="1" w:after="100" w:afterAutospacing="1"/>
    </w:pPr>
    <w:rPr>
      <w:rFonts w:eastAsia="Calibri"/>
      <w:sz w:val="24"/>
      <w:szCs w:val="24"/>
    </w:rPr>
  </w:style>
  <w:style w:type="paragraph" w:customStyle="1" w:styleId="corpsde">
    <w:name w:val="corpsde"/>
    <w:basedOn w:val="Normal"/>
    <w:uiPriority w:val="99"/>
    <w:semiHidden/>
    <w:rsid w:val="00DB5071"/>
    <w:pPr>
      <w:spacing w:before="100" w:beforeAutospacing="1" w:after="100" w:afterAutospacing="1"/>
    </w:pPr>
    <w:rPr>
      <w:rFonts w:eastAsia="Calibri"/>
      <w:sz w:val="24"/>
      <w:szCs w:val="24"/>
    </w:rPr>
  </w:style>
  <w:style w:type="paragraph" w:customStyle="1" w:styleId="corpsdete">
    <w:name w:val="corpsdete"/>
    <w:basedOn w:val="Normal"/>
    <w:uiPriority w:val="99"/>
    <w:semiHidden/>
    <w:rsid w:val="00DB5071"/>
    <w:pPr>
      <w:spacing w:before="100" w:beforeAutospacing="1" w:after="100" w:afterAutospacing="1"/>
    </w:pPr>
    <w:rPr>
      <w:rFonts w:eastAsia="Calibri"/>
      <w:sz w:val="24"/>
      <w:szCs w:val="24"/>
    </w:rPr>
  </w:style>
  <w:style w:type="paragraph" w:customStyle="1" w:styleId="paragraphe">
    <w:name w:val="paragraphe"/>
    <w:basedOn w:val="Normal"/>
    <w:uiPriority w:val="99"/>
    <w:semiHidden/>
    <w:rsid w:val="00DB5071"/>
    <w:pPr>
      <w:spacing w:before="100" w:beforeAutospacing="1" w:after="100" w:afterAutospacing="1"/>
    </w:pPr>
    <w:rPr>
      <w:rFonts w:eastAsia="Calibri"/>
      <w:sz w:val="24"/>
      <w:szCs w:val="24"/>
    </w:rPr>
  </w:style>
  <w:style w:type="character" w:styleId="lev">
    <w:name w:val="Strong"/>
    <w:uiPriority w:val="22"/>
    <w:qFormat/>
    <w:rsid w:val="00DB5071"/>
    <w:rPr>
      <w:b/>
      <w:bCs/>
    </w:rPr>
  </w:style>
  <w:style w:type="paragraph" w:styleId="Corpsdetexte2">
    <w:name w:val="Body Text 2"/>
    <w:basedOn w:val="Normal"/>
    <w:link w:val="Corpsdetexte2Car"/>
    <w:rsid w:val="00CA2509"/>
    <w:rPr>
      <w:rFonts w:ascii="Arial Narrow" w:hAnsi="Arial Narrow"/>
      <w:szCs w:val="24"/>
      <w:lang w:val="x-none" w:eastAsia="x-none"/>
    </w:rPr>
  </w:style>
  <w:style w:type="character" w:customStyle="1" w:styleId="Corpsdetexte2Car">
    <w:name w:val="Corps de texte 2 Car"/>
    <w:link w:val="Corpsdetexte2"/>
    <w:rsid w:val="00CA2509"/>
    <w:rPr>
      <w:rFonts w:ascii="Arial Narrow" w:hAnsi="Arial Narrow"/>
      <w:sz w:val="22"/>
      <w:szCs w:val="24"/>
    </w:rPr>
  </w:style>
  <w:style w:type="paragraph" w:styleId="Corpsdetexte">
    <w:name w:val="Body Text"/>
    <w:basedOn w:val="Normal"/>
    <w:link w:val="CorpsdetexteCar"/>
    <w:uiPriority w:val="99"/>
    <w:unhideWhenUsed/>
    <w:rsid w:val="00CA2509"/>
    <w:pPr>
      <w:spacing w:after="120"/>
    </w:pPr>
    <w:rPr>
      <w:rFonts w:ascii="Times New Roman" w:hAnsi="Times New Roman"/>
      <w:lang w:val="x-none" w:eastAsia="x-none"/>
    </w:rPr>
  </w:style>
  <w:style w:type="character" w:customStyle="1" w:styleId="CorpsdetexteCar">
    <w:name w:val="Corps de texte Car"/>
    <w:link w:val="Corpsdetexte"/>
    <w:uiPriority w:val="99"/>
    <w:rsid w:val="00CA2509"/>
    <w:rPr>
      <w:sz w:val="22"/>
    </w:rPr>
  </w:style>
  <w:style w:type="paragraph" w:styleId="Retraitcorpsdetexte">
    <w:name w:val="Body Text Indent"/>
    <w:basedOn w:val="Normal"/>
    <w:link w:val="RetraitcorpsdetexteCar"/>
    <w:uiPriority w:val="99"/>
    <w:semiHidden/>
    <w:unhideWhenUsed/>
    <w:rsid w:val="00C976F6"/>
    <w:pPr>
      <w:spacing w:after="120"/>
      <w:ind w:left="283"/>
    </w:pPr>
    <w:rPr>
      <w:rFonts w:ascii="Times New Roman" w:hAnsi="Times New Roman"/>
      <w:lang w:val="x-none" w:eastAsia="x-none"/>
    </w:rPr>
  </w:style>
  <w:style w:type="character" w:customStyle="1" w:styleId="RetraitcorpsdetexteCar">
    <w:name w:val="Retrait corps de texte Car"/>
    <w:link w:val="Retraitcorpsdetexte"/>
    <w:uiPriority w:val="99"/>
    <w:semiHidden/>
    <w:rsid w:val="00C976F6"/>
    <w:rPr>
      <w:sz w:val="22"/>
    </w:rPr>
  </w:style>
  <w:style w:type="paragraph" w:customStyle="1" w:styleId="Normal2">
    <w:name w:val="Normal2"/>
    <w:basedOn w:val="Normal"/>
    <w:link w:val="Normal2Car"/>
    <w:rsid w:val="003A672B"/>
    <w:pPr>
      <w:keepLines/>
      <w:tabs>
        <w:tab w:val="left" w:pos="567"/>
        <w:tab w:val="left" w:pos="851"/>
        <w:tab w:val="left" w:pos="1134"/>
      </w:tabs>
      <w:ind w:left="284" w:firstLine="284"/>
      <w:jc w:val="both"/>
    </w:pPr>
    <w:rPr>
      <w:rFonts w:ascii="Times New Roman" w:hAnsi="Times New Roman"/>
      <w:lang w:val="x-none" w:eastAsia="x-none"/>
    </w:rPr>
  </w:style>
  <w:style w:type="character" w:customStyle="1" w:styleId="Normal2Car">
    <w:name w:val="Normal2 Car"/>
    <w:link w:val="Normal2"/>
    <w:rsid w:val="003A672B"/>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9398">
      <w:bodyDiv w:val="1"/>
      <w:marLeft w:val="0"/>
      <w:marRight w:val="0"/>
      <w:marTop w:val="0"/>
      <w:marBottom w:val="0"/>
      <w:divBdr>
        <w:top w:val="none" w:sz="0" w:space="0" w:color="auto"/>
        <w:left w:val="none" w:sz="0" w:space="0" w:color="auto"/>
        <w:bottom w:val="none" w:sz="0" w:space="0" w:color="auto"/>
        <w:right w:val="none" w:sz="0" w:space="0" w:color="auto"/>
      </w:divBdr>
    </w:div>
    <w:div w:id="713116151">
      <w:bodyDiv w:val="1"/>
      <w:marLeft w:val="0"/>
      <w:marRight w:val="0"/>
      <w:marTop w:val="0"/>
      <w:marBottom w:val="0"/>
      <w:divBdr>
        <w:top w:val="none" w:sz="0" w:space="0" w:color="auto"/>
        <w:left w:val="none" w:sz="0" w:space="0" w:color="auto"/>
        <w:bottom w:val="none" w:sz="0" w:space="0" w:color="auto"/>
        <w:right w:val="none" w:sz="0" w:space="0" w:color="auto"/>
      </w:divBdr>
    </w:div>
    <w:div w:id="1031226953">
      <w:bodyDiv w:val="1"/>
      <w:marLeft w:val="0"/>
      <w:marRight w:val="0"/>
      <w:marTop w:val="0"/>
      <w:marBottom w:val="0"/>
      <w:divBdr>
        <w:top w:val="none" w:sz="0" w:space="0" w:color="auto"/>
        <w:left w:val="none" w:sz="0" w:space="0" w:color="auto"/>
        <w:bottom w:val="none" w:sz="0" w:space="0" w:color="auto"/>
        <w:right w:val="none" w:sz="0" w:space="0" w:color="auto"/>
      </w:divBdr>
    </w:div>
    <w:div w:id="1160386836">
      <w:bodyDiv w:val="1"/>
      <w:marLeft w:val="0"/>
      <w:marRight w:val="0"/>
      <w:marTop w:val="0"/>
      <w:marBottom w:val="0"/>
      <w:divBdr>
        <w:top w:val="none" w:sz="0" w:space="0" w:color="auto"/>
        <w:left w:val="none" w:sz="0" w:space="0" w:color="auto"/>
        <w:bottom w:val="none" w:sz="0" w:space="0" w:color="auto"/>
        <w:right w:val="none" w:sz="0" w:space="0" w:color="auto"/>
      </w:divBdr>
    </w:div>
    <w:div w:id="19721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037F-C105-42BA-BC86-BA4A59AF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11553</CharactersWithSpaces>
  <SharedDoc>false</SharedDoc>
  <HLinks>
    <vt:vector size="114" baseType="variant">
      <vt:variant>
        <vt:i4>1572916</vt:i4>
      </vt:variant>
      <vt:variant>
        <vt:i4>110</vt:i4>
      </vt:variant>
      <vt:variant>
        <vt:i4>0</vt:i4>
      </vt:variant>
      <vt:variant>
        <vt:i4>5</vt:i4>
      </vt:variant>
      <vt:variant>
        <vt:lpwstr/>
      </vt:variant>
      <vt:variant>
        <vt:lpwstr>_Toc25054629</vt:lpwstr>
      </vt:variant>
      <vt:variant>
        <vt:i4>1638452</vt:i4>
      </vt:variant>
      <vt:variant>
        <vt:i4>104</vt:i4>
      </vt:variant>
      <vt:variant>
        <vt:i4>0</vt:i4>
      </vt:variant>
      <vt:variant>
        <vt:i4>5</vt:i4>
      </vt:variant>
      <vt:variant>
        <vt:lpwstr/>
      </vt:variant>
      <vt:variant>
        <vt:lpwstr>_Toc25054628</vt:lpwstr>
      </vt:variant>
      <vt:variant>
        <vt:i4>1441844</vt:i4>
      </vt:variant>
      <vt:variant>
        <vt:i4>98</vt:i4>
      </vt:variant>
      <vt:variant>
        <vt:i4>0</vt:i4>
      </vt:variant>
      <vt:variant>
        <vt:i4>5</vt:i4>
      </vt:variant>
      <vt:variant>
        <vt:lpwstr/>
      </vt:variant>
      <vt:variant>
        <vt:lpwstr>_Toc25054627</vt:lpwstr>
      </vt:variant>
      <vt:variant>
        <vt:i4>1507380</vt:i4>
      </vt:variant>
      <vt:variant>
        <vt:i4>92</vt:i4>
      </vt:variant>
      <vt:variant>
        <vt:i4>0</vt:i4>
      </vt:variant>
      <vt:variant>
        <vt:i4>5</vt:i4>
      </vt:variant>
      <vt:variant>
        <vt:lpwstr/>
      </vt:variant>
      <vt:variant>
        <vt:lpwstr>_Toc25054626</vt:lpwstr>
      </vt:variant>
      <vt:variant>
        <vt:i4>1310772</vt:i4>
      </vt:variant>
      <vt:variant>
        <vt:i4>86</vt:i4>
      </vt:variant>
      <vt:variant>
        <vt:i4>0</vt:i4>
      </vt:variant>
      <vt:variant>
        <vt:i4>5</vt:i4>
      </vt:variant>
      <vt:variant>
        <vt:lpwstr/>
      </vt:variant>
      <vt:variant>
        <vt:lpwstr>_Toc25054625</vt:lpwstr>
      </vt:variant>
      <vt:variant>
        <vt:i4>1376308</vt:i4>
      </vt:variant>
      <vt:variant>
        <vt:i4>80</vt:i4>
      </vt:variant>
      <vt:variant>
        <vt:i4>0</vt:i4>
      </vt:variant>
      <vt:variant>
        <vt:i4>5</vt:i4>
      </vt:variant>
      <vt:variant>
        <vt:lpwstr/>
      </vt:variant>
      <vt:variant>
        <vt:lpwstr>_Toc25054624</vt:lpwstr>
      </vt:variant>
      <vt:variant>
        <vt:i4>1179700</vt:i4>
      </vt:variant>
      <vt:variant>
        <vt:i4>74</vt:i4>
      </vt:variant>
      <vt:variant>
        <vt:i4>0</vt:i4>
      </vt:variant>
      <vt:variant>
        <vt:i4>5</vt:i4>
      </vt:variant>
      <vt:variant>
        <vt:lpwstr/>
      </vt:variant>
      <vt:variant>
        <vt:lpwstr>_Toc25054623</vt:lpwstr>
      </vt:variant>
      <vt:variant>
        <vt:i4>1245236</vt:i4>
      </vt:variant>
      <vt:variant>
        <vt:i4>68</vt:i4>
      </vt:variant>
      <vt:variant>
        <vt:i4>0</vt:i4>
      </vt:variant>
      <vt:variant>
        <vt:i4>5</vt:i4>
      </vt:variant>
      <vt:variant>
        <vt:lpwstr/>
      </vt:variant>
      <vt:variant>
        <vt:lpwstr>_Toc25054622</vt:lpwstr>
      </vt:variant>
      <vt:variant>
        <vt:i4>1048628</vt:i4>
      </vt:variant>
      <vt:variant>
        <vt:i4>62</vt:i4>
      </vt:variant>
      <vt:variant>
        <vt:i4>0</vt:i4>
      </vt:variant>
      <vt:variant>
        <vt:i4>5</vt:i4>
      </vt:variant>
      <vt:variant>
        <vt:lpwstr/>
      </vt:variant>
      <vt:variant>
        <vt:lpwstr>_Toc25054621</vt:lpwstr>
      </vt:variant>
      <vt:variant>
        <vt:i4>1114164</vt:i4>
      </vt:variant>
      <vt:variant>
        <vt:i4>56</vt:i4>
      </vt:variant>
      <vt:variant>
        <vt:i4>0</vt:i4>
      </vt:variant>
      <vt:variant>
        <vt:i4>5</vt:i4>
      </vt:variant>
      <vt:variant>
        <vt:lpwstr/>
      </vt:variant>
      <vt:variant>
        <vt:lpwstr>_Toc25054620</vt:lpwstr>
      </vt:variant>
      <vt:variant>
        <vt:i4>1572919</vt:i4>
      </vt:variant>
      <vt:variant>
        <vt:i4>50</vt:i4>
      </vt:variant>
      <vt:variant>
        <vt:i4>0</vt:i4>
      </vt:variant>
      <vt:variant>
        <vt:i4>5</vt:i4>
      </vt:variant>
      <vt:variant>
        <vt:lpwstr/>
      </vt:variant>
      <vt:variant>
        <vt:lpwstr>_Toc25054619</vt:lpwstr>
      </vt:variant>
      <vt:variant>
        <vt:i4>1638455</vt:i4>
      </vt:variant>
      <vt:variant>
        <vt:i4>44</vt:i4>
      </vt:variant>
      <vt:variant>
        <vt:i4>0</vt:i4>
      </vt:variant>
      <vt:variant>
        <vt:i4>5</vt:i4>
      </vt:variant>
      <vt:variant>
        <vt:lpwstr/>
      </vt:variant>
      <vt:variant>
        <vt:lpwstr>_Toc25054618</vt:lpwstr>
      </vt:variant>
      <vt:variant>
        <vt:i4>1441847</vt:i4>
      </vt:variant>
      <vt:variant>
        <vt:i4>38</vt:i4>
      </vt:variant>
      <vt:variant>
        <vt:i4>0</vt:i4>
      </vt:variant>
      <vt:variant>
        <vt:i4>5</vt:i4>
      </vt:variant>
      <vt:variant>
        <vt:lpwstr/>
      </vt:variant>
      <vt:variant>
        <vt:lpwstr>_Toc25054617</vt:lpwstr>
      </vt:variant>
      <vt:variant>
        <vt:i4>1507383</vt:i4>
      </vt:variant>
      <vt:variant>
        <vt:i4>32</vt:i4>
      </vt:variant>
      <vt:variant>
        <vt:i4>0</vt:i4>
      </vt:variant>
      <vt:variant>
        <vt:i4>5</vt:i4>
      </vt:variant>
      <vt:variant>
        <vt:lpwstr/>
      </vt:variant>
      <vt:variant>
        <vt:lpwstr>_Toc25054616</vt:lpwstr>
      </vt:variant>
      <vt:variant>
        <vt:i4>1310775</vt:i4>
      </vt:variant>
      <vt:variant>
        <vt:i4>26</vt:i4>
      </vt:variant>
      <vt:variant>
        <vt:i4>0</vt:i4>
      </vt:variant>
      <vt:variant>
        <vt:i4>5</vt:i4>
      </vt:variant>
      <vt:variant>
        <vt:lpwstr/>
      </vt:variant>
      <vt:variant>
        <vt:lpwstr>_Toc25054615</vt:lpwstr>
      </vt:variant>
      <vt:variant>
        <vt:i4>1376311</vt:i4>
      </vt:variant>
      <vt:variant>
        <vt:i4>20</vt:i4>
      </vt:variant>
      <vt:variant>
        <vt:i4>0</vt:i4>
      </vt:variant>
      <vt:variant>
        <vt:i4>5</vt:i4>
      </vt:variant>
      <vt:variant>
        <vt:lpwstr/>
      </vt:variant>
      <vt:variant>
        <vt:lpwstr>_Toc25054614</vt:lpwstr>
      </vt:variant>
      <vt:variant>
        <vt:i4>1179703</vt:i4>
      </vt:variant>
      <vt:variant>
        <vt:i4>14</vt:i4>
      </vt:variant>
      <vt:variant>
        <vt:i4>0</vt:i4>
      </vt:variant>
      <vt:variant>
        <vt:i4>5</vt:i4>
      </vt:variant>
      <vt:variant>
        <vt:lpwstr/>
      </vt:variant>
      <vt:variant>
        <vt:lpwstr>_Toc25054613</vt:lpwstr>
      </vt:variant>
      <vt:variant>
        <vt:i4>1245239</vt:i4>
      </vt:variant>
      <vt:variant>
        <vt:i4>8</vt:i4>
      </vt:variant>
      <vt:variant>
        <vt:i4>0</vt:i4>
      </vt:variant>
      <vt:variant>
        <vt:i4>5</vt:i4>
      </vt:variant>
      <vt:variant>
        <vt:lpwstr/>
      </vt:variant>
      <vt:variant>
        <vt:lpwstr>_Toc25054612</vt:lpwstr>
      </vt:variant>
      <vt:variant>
        <vt:i4>1048631</vt:i4>
      </vt:variant>
      <vt:variant>
        <vt:i4>2</vt:i4>
      </vt:variant>
      <vt:variant>
        <vt:i4>0</vt:i4>
      </vt:variant>
      <vt:variant>
        <vt:i4>5</vt:i4>
      </vt:variant>
      <vt:variant>
        <vt:lpwstr/>
      </vt:variant>
      <vt:variant>
        <vt:lpwstr>_Toc25054611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frederic.magnan</dc:creator>
  <cp:keywords/>
  <cp:lastModifiedBy>RQCONSEILS</cp:lastModifiedBy>
  <cp:revision>3</cp:revision>
  <cp:lastPrinted>2018-11-18T14:05:00Z</cp:lastPrinted>
  <dcterms:created xsi:type="dcterms:W3CDTF">2019-12-10T11:22:00Z</dcterms:created>
  <dcterms:modified xsi:type="dcterms:W3CDTF">2019-12-10T11:22:00Z</dcterms:modified>
</cp:coreProperties>
</file>